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val="false"/>
          <w:bCs w:val="false"/>
          <w:i/>
          <w:iCs/>
          <w:sz w:val="24"/>
          <w:szCs w:val="24"/>
        </w:rPr>
        <w:t xml:space="preserve">Školský vzdelávací program</w:t>
      </w:r>
    </w:p>
    <w:p>
      <w:pPr>
        <w:spacing w:after="200"/>
        <w:jc w:val="center"/>
      </w:pPr>
      <w:r>
        <w:rPr>
          <w:rFonts w:ascii="Calibri" w:cs="Calibri" w:eastAsia="Calibri" w:hAnsi="Calibri"/>
          <w:b/>
          <w:bCs/>
          <w:i w:val="false"/>
          <w:iCs w:val="false"/>
          <w:sz w:val="32"/>
          <w:szCs w:val="32"/>
        </w:rPr>
        <w:t xml:space="preserve">HUDOBNÁ VÝCHOVA</w:t>
      </w:r>
    </w:p>
    <w:p>
      <w:pPr>
        <w:spacing w:after="120" w:before="0" w:line="360" w:lineRule="auto"/>
        <w:jc w:val="both"/>
      </w:pPr>
      <w:r>
        <w:rPr>
          <w:rFonts w:ascii="Calibri" w:cs="Calibri" w:eastAsia="Calibri" w:hAnsi="Calibri"/>
          <w:b/>
          <w:bCs/>
          <w:i w:val="false"/>
          <w:iCs w:val="false"/>
          <w:sz w:val="22"/>
          <w:szCs w:val="22"/>
        </w:rPr>
        <w:t xml:space="preserve">Vzdelávacia oblasť: </w:t>
      </w:r>
      <w:r>
        <w:rPr>
          <w:rFonts w:ascii="Calibri" w:cs="Calibri" w:eastAsia="Calibri" w:hAnsi="Calibri"/>
          <w:b w:val="false"/>
          <w:bCs w:val="false"/>
          <w:i w:val="false"/>
          <w:iCs w:val="false"/>
          <w:sz w:val="22"/>
          <w:szCs w:val="22"/>
        </w:rPr>
        <w:t xml:space="preserve">Umenie a kultúra</w:t>
      </w:r>
    </w:p>
    <w:p>
      <w:pPr>
        <w:spacing w:after="120" w:before="0" w:line="360" w:lineRule="auto"/>
        <w:jc w:val="both"/>
      </w:pPr>
      <w:r>
        <w:rPr>
          <w:rFonts w:ascii="Calibri" w:cs="Calibri" w:eastAsia="Calibri" w:hAnsi="Calibri"/>
          <w:b/>
          <w:bCs/>
          <w:i w:val="false"/>
          <w:iCs w:val="false"/>
          <w:sz w:val="22"/>
          <w:szCs w:val="22"/>
        </w:rPr>
        <w:t xml:space="preserve">Vyučovací predmet: </w:t>
      </w:r>
      <w:r>
        <w:rPr>
          <w:rFonts w:ascii="Calibri" w:cs="Calibri" w:eastAsia="Calibri" w:hAnsi="Calibri"/>
          <w:b w:val="false"/>
          <w:bCs w:val="false"/>
          <w:i w:val="false"/>
          <w:iCs w:val="false"/>
          <w:sz w:val="22"/>
          <w:szCs w:val="22"/>
        </w:rPr>
        <w:t xml:space="preserve">Hudobná výchova</w:t>
      </w:r>
    </w:p>
    <w:p>
      <w:pPr>
        <w:spacing w:after="120" w:before="0" w:line="360" w:lineRule="auto"/>
        <w:jc w:val="both"/>
      </w:pPr>
      <w:r>
        <w:rPr>
          <w:rFonts w:ascii="Calibri" w:cs="Calibri" w:eastAsia="Calibri" w:hAnsi="Calibri"/>
          <w:b/>
          <w:bCs/>
          <w:i w:val="false"/>
          <w:iCs w:val="false"/>
          <w:sz w:val="22"/>
          <w:szCs w:val="22"/>
        </w:rPr>
        <w:t xml:space="preserve">Ročník: </w:t>
      </w:r>
      <w:r>
        <w:rPr>
          <w:rFonts w:ascii="Calibri" w:cs="Calibri" w:eastAsia="Calibri" w:hAnsi="Calibri"/>
          <w:b w:val="false"/>
          <w:bCs w:val="false"/>
          <w:i w:val="false"/>
          <w:iCs w:val="false"/>
          <w:sz w:val="22"/>
          <w:szCs w:val="22"/>
        </w:rPr>
        <w:t xml:space="preserve">5. – 8. ročník (nižšie stredné vzdelávanie – ISCED 2)</w:t>
      </w:r>
    </w:p>
    <w:p>
      <w:pPr>
        <w:spacing w:after="120" w:before="0" w:line="360" w:lineRule="auto"/>
        <w:jc w:val="both"/>
      </w:pPr>
      <w:r>
        <w:rPr>
          <w:rFonts w:ascii="Calibri" w:cs="Calibri" w:eastAsia="Calibri" w:hAnsi="Calibri"/>
          <w:b/>
          <w:bCs/>
          <w:i w:val="false"/>
          <w:iCs w:val="false"/>
          <w:sz w:val="22"/>
          <w:szCs w:val="22"/>
        </w:rPr>
        <w:t xml:space="preserve">Časová dotácia: </w:t>
      </w:r>
      <w:r>
        <w:rPr>
          <w:rFonts w:ascii="Calibri" w:cs="Calibri" w:eastAsia="Calibri" w:hAnsi="Calibri"/>
          <w:b w:val="false"/>
          <w:bCs w:val="false"/>
          <w:i w:val="false"/>
          <w:iCs w:val="false"/>
          <w:sz w:val="22"/>
          <w:szCs w:val="22"/>
        </w:rPr>
        <w:t xml:space="preserve">1 hodina týždenne, spolu cca 33 vyučovacích hodín ročne v každom ročníku</w:t>
      </w:r>
    </w:p>
    <w:p>
      <w:pPr>
        <w:spacing w:after="120" w:before="0" w:line="360" w:lineRule="auto"/>
        <w:jc w:val="both"/>
      </w:pPr>
      <w:r>
        <w:rPr>
          <w:rFonts w:ascii="Calibri" w:cs="Calibri" w:eastAsia="Calibri" w:hAnsi="Calibri"/>
          <w:b/>
          <w:bCs/>
          <w:i w:val="false"/>
          <w:iCs w:val="false"/>
          <w:sz w:val="22"/>
          <w:szCs w:val="22"/>
        </w:rPr>
        <w:t xml:space="preserve">Školský rok: </w:t>
      </w:r>
      <w:r>
        <w:rPr>
          <w:rFonts w:ascii="Calibri" w:cs="Calibri" w:eastAsia="Calibri" w:hAnsi="Calibri"/>
          <w:b w:val="false"/>
          <w:bCs w:val="false"/>
          <w:i w:val="false"/>
          <w:iCs w:val="false"/>
          <w:sz w:val="22"/>
          <w:szCs w:val="22"/>
        </w:rPr>
        <w:t xml:space="preserve">2026/2027</w:t>
      </w:r>
    </w:p>
    <w:p>
      <w:pPr>
        <w:spacing w:after="120" w:before="0" w:line="360" w:lineRule="auto"/>
        <w:jc w:val="both"/>
      </w:pPr>
      <w:r>
        <w:rPr>
          <w:rFonts w:ascii="Calibri" w:cs="Calibri" w:eastAsia="Calibri" w:hAnsi="Calibri"/>
          <w:b w:val="false"/>
          <w:bCs w:val="false"/>
          <w:i w:val="false"/>
          <w:iCs w:val="false"/>
          <w:sz w:val="22"/>
          <w:szCs w:val="22"/>
        </w:rPr>
        <w:t xml:space="preserve">Vypracované v súlade so štátnym vzdelávacím štandardom pre predmet Hudobná výchova – nižšie stredné vzdelávanie (Štátny pedagogický ústav) a s Dodatkom č. 17 k štátnym vzdelávacím programom (MŠVVaM SR, č. 2026/10555:2-A3610, účinnosť od 1. 3. 2026), ktorým sa do prierezových tém dopĺňa AI gramotnosť.</w:t>
      </w:r>
    </w:p>
    <w:p>
      <w:pPr>
        <w:spacing w:after="120" w:before="240" w:line="360" w:lineRule="auto"/>
        <w:jc w:val="both"/>
      </w:pPr>
      <w:r>
        <w:rPr>
          <w:rFonts w:ascii="Calibri" w:cs="Calibri" w:eastAsia="Calibri" w:hAnsi="Calibri"/>
          <w:b/>
          <w:bCs/>
          <w:i w:val="false"/>
          <w:iCs w:val="false"/>
          <w:color w:val="2E74B5"/>
          <w:sz w:val="32"/>
          <w:szCs w:val="32"/>
        </w:rPr>
        <w:t xml:space="preserve">Charakteristika predmetu</w:t>
      </w:r>
    </w:p>
    <w:p>
      <w:pPr>
        <w:spacing w:after="120" w:before="0" w:line="360" w:lineRule="auto"/>
        <w:jc w:val="both"/>
      </w:pPr>
      <w:r>
        <w:rPr>
          <w:rFonts w:ascii="Calibri" w:cs="Calibri" w:eastAsia="Calibri" w:hAnsi="Calibri"/>
          <w:b w:val="false"/>
          <w:bCs w:val="false"/>
          <w:i w:val="false"/>
          <w:iCs w:val="false"/>
          <w:sz w:val="22"/>
          <w:szCs w:val="22"/>
        </w:rPr>
        <w:t xml:space="preserve">Hudobná výchova rozvíja hudobnosť žiaka a jeho vzťah k hudbe ako súčasti národného aj svetového kultúrneho dedičstva. Dôraz sa kladie na výchovu hudbou, na aktívne hudobné činnosti žiakov a na prepojenie hudby s inými druhmi umenia i s bežným životom.</w:t>
      </w:r>
    </w:p>
    <w:p>
      <w:pPr>
        <w:spacing w:after="120" w:before="0" w:line="360" w:lineRule="auto"/>
        <w:jc w:val="both"/>
      </w:pPr>
      <w:r>
        <w:rPr>
          <w:rFonts w:ascii="Calibri" w:cs="Calibri" w:eastAsia="Calibri" w:hAnsi="Calibri"/>
          <w:b w:val="false"/>
          <w:bCs w:val="false"/>
          <w:i w:val="false"/>
          <w:iCs w:val="false"/>
          <w:sz w:val="22"/>
          <w:szCs w:val="22"/>
        </w:rPr>
        <w:t xml:space="preserve">Vzdelávací štandard predmetu je postavený na piatich okruhoch hudobných činností – vokálnych, inštrumentálnych, hudobno-pohybových, percepčných a hudobno-dramatických – ktoré sa v jednotlivých ročníkoch rozširujú a prehlbujú. V 7. a 8. ročníku pribúda dôraz na históriu hudby a orientáciu v slohových obdobiach od stredoveku po romantizmus a začiatok 20. storočia.</w:t>
      </w:r>
    </w:p>
    <w:p>
      <w:pPr>
        <w:spacing w:after="120" w:before="0" w:line="360" w:lineRule="auto"/>
        <w:jc w:val="both"/>
      </w:pPr>
      <w:r>
        <w:rPr>
          <w:rFonts w:ascii="Calibri" w:cs="Calibri" w:eastAsia="Calibri" w:hAnsi="Calibri"/>
          <w:b w:val="false"/>
          <w:bCs w:val="false"/>
          <w:i w:val="false"/>
          <w:iCs w:val="false"/>
          <w:sz w:val="22"/>
          <w:szCs w:val="22"/>
        </w:rPr>
        <w:t xml:space="preserve">Základnou organizačnou formou je 45-minútová vyučovacia hodina.</w:t>
      </w:r>
    </w:p>
    <w:p>
      <w:pPr>
        <w:spacing w:after="120" w:line="360" w:lineRule="auto"/>
        <w:jc w:val="both"/>
      </w:pPr>
      <w:r>
        <w:rPr>
          <w:rFonts w:ascii="Calibri" w:cs="Calibri" w:eastAsia="Calibri" w:hAnsi="Calibri"/>
          <w:b/>
          <w:bCs/>
          <w:i w:val="false"/>
          <w:iCs w:val="false"/>
          <w:sz w:val="22"/>
          <w:szCs w:val="22"/>
        </w:rPr>
        <w:t xml:space="preserve">Materiálno-technické podmienky: </w:t>
      </w:r>
      <w:r>
        <w:rPr>
          <w:rFonts w:ascii="Calibri" w:cs="Calibri" w:eastAsia="Calibri" w:hAnsi="Calibri"/>
          <w:b w:val="false"/>
          <w:bCs w:val="false"/>
          <w:i w:val="false"/>
          <w:iCs w:val="false"/>
          <w:sz w:val="22"/>
          <w:szCs w:val="22"/>
        </w:rPr>
        <w:t xml:space="preserve">škola disponuje samostatnou učebňou hudobnej výchovy vybavenou klavírom/keyboardom, ozvučovacou technikou, súborom detských hudobných nástrojov (Orffov inštrumentár) a interaktívnou tabuľou s pripojením na internet.</w:t>
      </w:r>
    </w:p>
    <w:p>
      <w:pPr>
        <w:spacing w:after="120" w:before="240" w:line="360" w:lineRule="auto"/>
        <w:jc w:val="both"/>
      </w:pPr>
      <w:r>
        <w:rPr>
          <w:rFonts w:ascii="Calibri" w:cs="Calibri" w:eastAsia="Calibri" w:hAnsi="Calibri"/>
          <w:b/>
          <w:bCs/>
          <w:i w:val="false"/>
          <w:iCs w:val="false"/>
          <w:color w:val="2E74B5"/>
          <w:sz w:val="32"/>
          <w:szCs w:val="32"/>
        </w:rPr>
        <w:t xml:space="preserve">Ciele predmetu</w:t>
      </w:r>
    </w:p>
    <w:p>
      <w:pPr>
        <w:pStyle w:val="ListParagraph"/>
        <w:numPr>
          <w:ilvl w:val="0"/>
          <w:numId w:val="2"/>
        </w:numPr>
        <w:spacing w:after="40" w:line="360" w:lineRule="auto"/>
        <w:jc w:val="both"/>
      </w:pPr>
      <w:r>
        <w:rPr>
          <w:rFonts w:ascii="Calibri" w:cs="Calibri" w:eastAsia="Calibri" w:hAnsi="Calibri"/>
          <w:b w:val="false"/>
          <w:bCs w:val="false"/>
          <w:i w:val="false"/>
          <w:iCs w:val="false"/>
          <w:sz w:val="22"/>
          <w:szCs w:val="22"/>
        </w:rPr>
        <w:t xml:space="preserve">získať vedomosti a zručnosti v procese komunikácie s hudbou a uplatňovať ich pri vnímaní a hodnotení umeleckých diel</w:t>
      </w:r>
    </w:p>
    <w:p>
      <w:pPr>
        <w:pStyle w:val="ListParagraph"/>
        <w:numPr>
          <w:ilvl w:val="0"/>
          <w:numId w:val="2"/>
        </w:numPr>
        <w:spacing w:after="40" w:line="360" w:lineRule="auto"/>
        <w:jc w:val="both"/>
      </w:pPr>
      <w:r>
        <w:rPr>
          <w:rFonts w:ascii="Calibri" w:cs="Calibri" w:eastAsia="Calibri" w:hAnsi="Calibri"/>
          <w:b w:val="false"/>
          <w:bCs w:val="false"/>
          <w:i w:val="false"/>
          <w:iCs w:val="false"/>
          <w:sz w:val="22"/>
          <w:szCs w:val="22"/>
        </w:rPr>
        <w:t xml:space="preserve">spoznať najvýznamnejších slovenských a svetových hudobných skladateľov jednotlivých historických období a ich vybrané diela</w:t>
      </w:r>
    </w:p>
    <w:p>
      <w:pPr>
        <w:pStyle w:val="ListParagraph"/>
        <w:numPr>
          <w:ilvl w:val="0"/>
          <w:numId w:val="2"/>
        </w:numPr>
        <w:spacing w:after="40" w:line="360" w:lineRule="auto"/>
        <w:jc w:val="both"/>
      </w:pPr>
      <w:r>
        <w:rPr>
          <w:rFonts w:ascii="Calibri" w:cs="Calibri" w:eastAsia="Calibri" w:hAnsi="Calibri"/>
          <w:b w:val="false"/>
          <w:bCs w:val="false"/>
          <w:i w:val="false"/>
          <w:iCs w:val="false"/>
          <w:sz w:val="22"/>
          <w:szCs w:val="22"/>
        </w:rPr>
        <w:t xml:space="preserve">uvedomiť si svoju národnú identitu prostredníctvom slovenských ľudových a umeleckých piesní v kontexte európskej hudobnej kultúry</w:t>
      </w:r>
    </w:p>
    <w:p>
      <w:pPr>
        <w:pStyle w:val="ListParagraph"/>
        <w:numPr>
          <w:ilvl w:val="0"/>
          <w:numId w:val="2"/>
        </w:numPr>
        <w:spacing w:after="40" w:line="360" w:lineRule="auto"/>
        <w:jc w:val="both"/>
      </w:pPr>
      <w:r>
        <w:rPr>
          <w:rFonts w:ascii="Calibri" w:cs="Calibri" w:eastAsia="Calibri" w:hAnsi="Calibri"/>
          <w:b w:val="false"/>
          <w:bCs w:val="false"/>
          <w:i w:val="false"/>
          <w:iCs w:val="false"/>
          <w:sz w:val="22"/>
          <w:szCs w:val="22"/>
        </w:rPr>
        <w:t xml:space="preserve">prostredníctvom hudobných činností vyjadrovať svoje emócie, vzťahy a postoje</w:t>
      </w:r>
    </w:p>
    <w:p>
      <w:pPr>
        <w:pStyle w:val="ListParagraph"/>
        <w:numPr>
          <w:ilvl w:val="0"/>
          <w:numId w:val="2"/>
        </w:numPr>
        <w:spacing w:after="40" w:line="360" w:lineRule="auto"/>
        <w:jc w:val="both"/>
      </w:pPr>
      <w:r>
        <w:rPr>
          <w:rFonts w:ascii="Calibri" w:cs="Calibri" w:eastAsia="Calibri" w:hAnsi="Calibri"/>
          <w:b w:val="false"/>
          <w:bCs w:val="false"/>
          <w:i w:val="false"/>
          <w:iCs w:val="false"/>
          <w:sz w:val="22"/>
          <w:szCs w:val="22"/>
        </w:rPr>
        <w:t xml:space="preserve">otvorene prijímať, hodnotiť a vážiť si hudobné prejavy vlastného národa, iných národov a etník</w:t>
      </w:r>
    </w:p>
    <w:p>
      <w:pPr>
        <w:pStyle w:val="ListParagraph"/>
        <w:numPr>
          <w:ilvl w:val="0"/>
          <w:numId w:val="2"/>
        </w:numPr>
        <w:spacing w:after="40" w:line="360" w:lineRule="auto"/>
        <w:jc w:val="both"/>
      </w:pPr>
      <w:r>
        <w:rPr>
          <w:rFonts w:ascii="Calibri" w:cs="Calibri" w:eastAsia="Calibri" w:hAnsi="Calibri"/>
          <w:b w:val="false"/>
          <w:bCs w:val="false"/>
          <w:i w:val="false"/>
          <w:iCs w:val="false"/>
          <w:sz w:val="22"/>
          <w:szCs w:val="22"/>
        </w:rPr>
        <w:t xml:space="preserve">rozvíjať spevácke, intonačné, rytmické a pohybové zručnosti primerane svojim individuálnym predpokladom</w:t>
      </w:r>
    </w:p>
    <w:p>
      <w:pPr>
        <w:pStyle w:val="ListParagraph"/>
        <w:numPr>
          <w:ilvl w:val="0"/>
          <w:numId w:val="2"/>
        </w:numPr>
        <w:spacing w:after="40" w:line="360" w:lineRule="auto"/>
        <w:jc w:val="both"/>
      </w:pPr>
      <w:r>
        <w:rPr>
          <w:rFonts w:ascii="Calibri" w:cs="Calibri" w:eastAsia="Calibri" w:hAnsi="Calibri"/>
          <w:b w:val="false"/>
          <w:bCs w:val="false"/>
          <w:i w:val="false"/>
          <w:iCs w:val="false"/>
          <w:sz w:val="22"/>
          <w:szCs w:val="22"/>
        </w:rPr>
        <w:t xml:space="preserve">rozvíjať schopnosť spolupracovať pri spoločných hudobných a hudobno-dramatických činnostiach</w:t>
      </w:r>
    </w:p>
    <w:p>
      <w:pPr>
        <w:pStyle w:val="ListParagraph"/>
        <w:numPr>
          <w:ilvl w:val="0"/>
          <w:numId w:val="2"/>
        </w:numPr>
        <w:spacing w:after="40" w:line="360" w:lineRule="auto"/>
        <w:jc w:val="both"/>
      </w:pPr>
      <w:r>
        <w:rPr>
          <w:rFonts w:ascii="Calibri" w:cs="Calibri" w:eastAsia="Calibri" w:hAnsi="Calibri"/>
          <w:b w:val="false"/>
          <w:bCs w:val="false"/>
          <w:i w:val="false"/>
          <w:iCs w:val="false"/>
          <w:sz w:val="22"/>
          <w:szCs w:val="22"/>
        </w:rPr>
        <w:t xml:space="preserve">kriticky pristupovať k hudobnému obsahu vrátane obsahu vytvoreného pomocou umelej inteligencie</w:t>
      </w:r>
    </w:p>
    <w:p>
      <w:pPr>
        <w:spacing w:after="120" w:before="240" w:line="360" w:lineRule="auto"/>
        <w:jc w:val="both"/>
      </w:pPr>
      <w:r>
        <w:rPr>
          <w:rFonts w:ascii="Calibri" w:cs="Calibri" w:eastAsia="Calibri" w:hAnsi="Calibri"/>
          <w:b/>
          <w:bCs/>
          <w:i w:val="false"/>
          <w:iCs w:val="false"/>
          <w:color w:val="2E74B5"/>
          <w:sz w:val="32"/>
          <w:szCs w:val="32"/>
        </w:rPr>
        <w:t xml:space="preserve">Rozdelenie časovej dotácie (okruhy hudobných činností)</w:t>
      </w:r>
    </w:p>
    <w:p>
      <w:pPr>
        <w:spacing w:after="120" w:before="0" w:line="360" w:lineRule="auto"/>
        <w:jc w:val="both"/>
      </w:pPr>
      <w:r>
        <w:rPr>
          <w:rFonts w:ascii="Calibri" w:cs="Calibri" w:eastAsia="Calibri" w:hAnsi="Calibri"/>
          <w:b w:val="false"/>
          <w:bCs w:val="false"/>
          <w:i w:val="false"/>
          <w:iCs w:val="false"/>
          <w:sz w:val="22"/>
          <w:szCs w:val="22"/>
        </w:rPr>
        <w:t xml:space="preserve">Časová dotácia predmetu Hudobná výchova je 1 hodina týždenne v každom ročníku 2. stupňa, spolu cca 33 vyučovacích hodín ročne. Nižšie uvedené rozdelenie do okruhov hudobných činností je zachované vo všetkých ročníkoch, pričom obsahové zameranie percepčných činností sa každý rok mení podľa preberaného učiva (pozri učebné osnovy pre jednotlivé ročníky).</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6565"/>
        <w:gridCol w:w="1791"/>
        <w:gridCol w:w="1750"/>
      </w:tblGrid>
      <w:tr>
        <w:trPr>
          <w:tblHeader/>
        </w:trPr>
        <w:tc>
          <w:tcPr>
            <w:tcW w:type="dxa" w:w="6565"/>
            <w:shd w:fill="D9D9D9" w:color="auto" w:val="clear"/>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Okruh hudobných činností</w:t>
            </w:r>
          </w:p>
        </w:tc>
        <w:tc>
          <w:tcPr>
            <w:tcW w:type="dxa" w:w="1791"/>
            <w:shd w:fill="D9D9D9" w:color="auto" w:val="clear"/>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Počet hodín / rok</w:t>
            </w:r>
          </w:p>
        </w:tc>
        <w:tc>
          <w:tcPr>
            <w:tcW w:type="dxa" w:w="1750"/>
            <w:shd w:fill="D9D9D9" w:color="auto" w:val="clear"/>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Podiel z časovej dotácie</w:t>
            </w:r>
          </w:p>
        </w:tc>
      </w:tr>
      <w:tr>
        <w:tc>
          <w:tcPr>
            <w:tcW w:type="dxa" w:w="6565"/>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Vokálne činnosti</w:t>
            </w:r>
          </w:p>
        </w:tc>
        <w:tc>
          <w:tcPr>
            <w:tcW w:type="dxa" w:w="1791"/>
            <w:tcMar>
              <w:top w:type="dxa" w:w="40"/>
              <w:left w:type="dxa" w:w="100"/>
              <w:bottom w:type="dxa" w:w="40"/>
              <w:right w:type="dxa" w:w="100"/>
            </w:tcMar>
          </w:tcPr>
          <w:p>
            <w:pPr>
              <w:spacing w:after="40" w:line="240" w:lineRule="auto"/>
              <w:jc w:val="both"/>
            </w:pPr>
            <w:r>
              <w:rPr>
                <w:rFonts w:ascii="Calibri" w:cs="Calibri" w:eastAsia="Calibri" w:hAnsi="Calibri"/>
                <w:b w:val="false"/>
                <w:bCs w:val="false"/>
                <w:i/>
                <w:iCs/>
                <w:sz w:val="18"/>
                <w:szCs w:val="18"/>
              </w:rPr>
              <w:t xml:space="preserve">8 h</w:t>
            </w:r>
          </w:p>
        </w:tc>
        <w:tc>
          <w:tcPr>
            <w:tcW w:type="dxa" w:w="1750"/>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cca 24 %</w:t>
            </w:r>
          </w:p>
        </w:tc>
      </w:tr>
      <w:tr>
        <w:tc>
          <w:tcPr>
            <w:tcW w:type="dxa" w:w="6565"/>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Inštrumentálne činnosti</w:t>
            </w:r>
          </w:p>
        </w:tc>
        <w:tc>
          <w:tcPr>
            <w:tcW w:type="dxa" w:w="1791"/>
            <w:tcMar>
              <w:top w:type="dxa" w:w="40"/>
              <w:left w:type="dxa" w:w="100"/>
              <w:bottom w:type="dxa" w:w="40"/>
              <w:right w:type="dxa" w:w="100"/>
            </w:tcMar>
          </w:tcPr>
          <w:p>
            <w:pPr>
              <w:spacing w:after="40" w:line="240" w:lineRule="auto"/>
              <w:jc w:val="both"/>
            </w:pPr>
            <w:r>
              <w:rPr>
                <w:rFonts w:ascii="Calibri" w:cs="Calibri" w:eastAsia="Calibri" w:hAnsi="Calibri"/>
                <w:b w:val="false"/>
                <w:bCs w:val="false"/>
                <w:i/>
                <w:iCs/>
                <w:sz w:val="18"/>
                <w:szCs w:val="18"/>
              </w:rPr>
              <w:t xml:space="preserve">6 h</w:t>
            </w:r>
          </w:p>
        </w:tc>
        <w:tc>
          <w:tcPr>
            <w:tcW w:type="dxa" w:w="1750"/>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cca 18 %</w:t>
            </w:r>
          </w:p>
        </w:tc>
      </w:tr>
      <w:tr>
        <w:tc>
          <w:tcPr>
            <w:tcW w:type="dxa" w:w="6565"/>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Hudobno-pohybové činnosti</w:t>
            </w:r>
          </w:p>
        </w:tc>
        <w:tc>
          <w:tcPr>
            <w:tcW w:type="dxa" w:w="1791"/>
            <w:tcMar>
              <w:top w:type="dxa" w:w="40"/>
              <w:left w:type="dxa" w:w="100"/>
              <w:bottom w:type="dxa" w:w="40"/>
              <w:right w:type="dxa" w:w="100"/>
            </w:tcMar>
          </w:tcPr>
          <w:p>
            <w:pPr>
              <w:spacing w:after="40" w:line="240" w:lineRule="auto"/>
              <w:jc w:val="both"/>
            </w:pPr>
            <w:r>
              <w:rPr>
                <w:rFonts w:ascii="Calibri" w:cs="Calibri" w:eastAsia="Calibri" w:hAnsi="Calibri"/>
                <w:b w:val="false"/>
                <w:bCs w:val="false"/>
                <w:i/>
                <w:iCs/>
                <w:sz w:val="18"/>
                <w:szCs w:val="18"/>
              </w:rPr>
              <w:t xml:space="preserve">5 h</w:t>
            </w:r>
          </w:p>
        </w:tc>
        <w:tc>
          <w:tcPr>
            <w:tcW w:type="dxa" w:w="1750"/>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cca 15 %</w:t>
            </w:r>
          </w:p>
        </w:tc>
      </w:tr>
      <w:tr>
        <w:tc>
          <w:tcPr>
            <w:tcW w:type="dxa" w:w="6565"/>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Percepčné činnosti (hudobná náuka a počúvanie hudby)</w:t>
            </w:r>
          </w:p>
        </w:tc>
        <w:tc>
          <w:tcPr>
            <w:tcW w:type="dxa" w:w="1791"/>
            <w:tcMar>
              <w:top w:type="dxa" w:w="40"/>
              <w:left w:type="dxa" w:w="100"/>
              <w:bottom w:type="dxa" w:w="40"/>
              <w:right w:type="dxa" w:w="100"/>
            </w:tcMar>
          </w:tcPr>
          <w:p>
            <w:pPr>
              <w:spacing w:after="40" w:line="240" w:lineRule="auto"/>
              <w:jc w:val="both"/>
            </w:pPr>
            <w:r>
              <w:rPr>
                <w:rFonts w:ascii="Calibri" w:cs="Calibri" w:eastAsia="Calibri" w:hAnsi="Calibri"/>
                <w:b w:val="false"/>
                <w:bCs w:val="false"/>
                <w:i/>
                <w:iCs/>
                <w:sz w:val="18"/>
                <w:szCs w:val="18"/>
              </w:rPr>
              <w:t xml:space="preserve">11 h</w:t>
            </w:r>
          </w:p>
        </w:tc>
        <w:tc>
          <w:tcPr>
            <w:tcW w:type="dxa" w:w="1750"/>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cca 33 %</w:t>
            </w:r>
          </w:p>
        </w:tc>
      </w:tr>
      <w:tr>
        <w:tc>
          <w:tcPr>
            <w:tcW w:type="dxa" w:w="6565"/>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Hudobno-dramatické činnosti (projekt)</w:t>
            </w:r>
          </w:p>
        </w:tc>
        <w:tc>
          <w:tcPr>
            <w:tcW w:type="dxa" w:w="1791"/>
            <w:tcMar>
              <w:top w:type="dxa" w:w="40"/>
              <w:left w:type="dxa" w:w="100"/>
              <w:bottom w:type="dxa" w:w="40"/>
              <w:right w:type="dxa" w:w="100"/>
            </w:tcMar>
          </w:tcPr>
          <w:p>
            <w:pPr>
              <w:spacing w:after="40" w:line="240" w:lineRule="auto"/>
              <w:jc w:val="both"/>
            </w:pPr>
            <w:r>
              <w:rPr>
                <w:rFonts w:ascii="Calibri" w:cs="Calibri" w:eastAsia="Calibri" w:hAnsi="Calibri"/>
                <w:b w:val="false"/>
                <w:bCs w:val="false"/>
                <w:i/>
                <w:iCs/>
                <w:sz w:val="18"/>
                <w:szCs w:val="18"/>
              </w:rPr>
              <w:t xml:space="preserve">3 h</w:t>
            </w:r>
          </w:p>
        </w:tc>
        <w:tc>
          <w:tcPr>
            <w:tcW w:type="dxa" w:w="1750"/>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cca 10 %</w:t>
            </w:r>
          </w:p>
        </w:tc>
      </w:tr>
    </w:tbl>
    <w:p>
      <w:pPr>
        <w:spacing w:after="120"/>
      </w:pPr>
    </w:p>
    <w:p>
      <w:pPr>
        <w:spacing w:after="120" w:before="240" w:line="360" w:lineRule="auto"/>
        <w:jc w:val="both"/>
      </w:pPr>
      <w:r>
        <w:rPr>
          <w:rFonts w:ascii="Calibri" w:cs="Calibri" w:eastAsia="Calibri" w:hAnsi="Calibri"/>
          <w:b/>
          <w:bCs/>
          <w:i w:val="false"/>
          <w:iCs w:val="false"/>
          <w:color w:val="2E74B5"/>
          <w:sz w:val="32"/>
          <w:szCs w:val="32"/>
        </w:rPr>
        <w:t xml:space="preserve">Prierezové témy a AI gramotnosť</w:t>
      </w:r>
    </w:p>
    <w:p>
      <w:pPr>
        <w:spacing w:after="120" w:before="0" w:line="360" w:lineRule="auto"/>
        <w:jc w:val="both"/>
      </w:pPr>
      <w:r>
        <w:rPr>
          <w:rFonts w:ascii="Calibri" w:cs="Calibri" w:eastAsia="Calibri" w:hAnsi="Calibri"/>
          <w:b w:val="false"/>
          <w:bCs w:val="false"/>
          <w:i w:val="false"/>
          <w:iCs w:val="false"/>
          <w:sz w:val="22"/>
          <w:szCs w:val="22"/>
        </w:rPr>
        <w:t xml:space="preserve">Na základe Dodatku č. 17 k štátnym vzdelávacím programom (MŠVVaM SR, účinnosť od 1. 3. 2026) sa do prierezových tém dopĺňa AI gramotnosť (AIG). V predmete Hudobná výchova sa realizuje najmä v rámci percepčných a hudobno-dramatických činností – žiaci sa učia primerane veku vyhľadávať a overovať informácie o hudobných dielach a skladateľoch, pracovať s digitálnymi nahrávkami a aplikáciami a kriticky posudzovať hudobný obsah vytvorený pomocou generatívnej umelej inteligencie, pričom si osvojujú aj zásady digitálneho wellbeingu pri počúvaní hudby.</w:t>
      </w:r>
    </w:p>
    <w:p>
      <w:pPr>
        <w:spacing w:after="120" w:before="0" w:line="360" w:lineRule="auto"/>
        <w:jc w:val="both"/>
      </w:pPr>
      <w:r>
        <w:rPr>
          <w:rFonts w:ascii="Calibri" w:cs="Calibri" w:eastAsia="Calibri" w:hAnsi="Calibri"/>
          <w:b w:val="false"/>
          <w:bCs w:val="false"/>
          <w:i w:val="false"/>
          <w:iCs w:val="false"/>
          <w:sz w:val="22"/>
          <w:szCs w:val="22"/>
        </w:rPr>
        <w:t xml:space="preserve">Použité skratky prierezových tém: OSR – Osobnostný a sociálny rozvoj, OZO – Ochrana života a zdravia, ENV – Environmentálna výchova, MDV – Mediálna výchova, AIG – AI gramotnosť.</w:t>
      </w:r>
    </w:p>
    <w:p>
      <w:pPr>
        <w:spacing w:after="120" w:before="240" w:line="360" w:lineRule="auto"/>
        <w:jc w:val="both"/>
      </w:pPr>
      <w:r>
        <w:rPr>
          <w:rFonts w:ascii="Calibri" w:cs="Calibri" w:eastAsia="Calibri" w:hAnsi="Calibri"/>
          <w:b/>
          <w:bCs/>
          <w:i w:val="false"/>
          <w:iCs w:val="false"/>
          <w:color w:val="2E74B5"/>
          <w:sz w:val="32"/>
          <w:szCs w:val="32"/>
        </w:rPr>
        <w:t xml:space="preserve">Stratégia vyučovania</w:t>
      </w:r>
    </w:p>
    <w:p>
      <w:pPr>
        <w:spacing w:after="120" w:before="0" w:line="360" w:lineRule="auto"/>
        <w:jc w:val="both"/>
      </w:pPr>
      <w:r>
        <w:rPr>
          <w:rFonts w:ascii="Calibri" w:cs="Calibri" w:eastAsia="Calibri" w:hAnsi="Calibri"/>
          <w:b w:val="false"/>
          <w:bCs w:val="false"/>
          <w:i w:val="false"/>
          <w:iCs w:val="false"/>
          <w:sz w:val="22"/>
          <w:szCs w:val="22"/>
        </w:rPr>
        <w:t xml:space="preserve">Voľba metód závisí od obsahu učiva, cieľov vyučovacej hodiny a veku žiakov. Na vzbudenie záujmu o hudobnú činnosť sa využívajú motivačné metódy (spev, počúvanie ukážok, motivačný rozhovor). Expozičné metódy (výklad, demonštrácia, počúvanie so sprievodným slovom) sa uplatňujú pri sprístupňovaní nových poznatkov. Významné miesto majú aj špecifické hudobné metódy – intonačná metóda s využitím relatívnej solmizácie, imitačná metóda osvojovania piesní, riadené objavovanie hudby a improvizácia – ako aj projektové a skupinové vyučovanie pri príprave hudobno-dramatických vystúpení.</w:t>
      </w:r>
    </w:p>
    <w:p>
      <w:pPr>
        <w:spacing w:after="120" w:before="240" w:line="360" w:lineRule="auto"/>
        <w:jc w:val="both"/>
      </w:pPr>
      <w:r>
        <w:rPr>
          <w:rFonts w:ascii="Calibri" w:cs="Calibri" w:eastAsia="Calibri" w:hAnsi="Calibri"/>
          <w:b/>
          <w:bCs/>
          <w:i w:val="false"/>
          <w:iCs w:val="false"/>
          <w:color w:val="2E74B5"/>
          <w:sz w:val="32"/>
          <w:szCs w:val="32"/>
        </w:rPr>
        <w:t xml:space="preserve">Hodnotenie a klasifikácia predmetu</w:t>
      </w:r>
    </w:p>
    <w:p>
      <w:pPr>
        <w:spacing w:after="120" w:before="0" w:line="360" w:lineRule="auto"/>
        <w:jc w:val="both"/>
      </w:pPr>
      <w:r>
        <w:rPr>
          <w:rFonts w:ascii="Calibri" w:cs="Calibri" w:eastAsia="Calibri" w:hAnsi="Calibri"/>
          <w:b w:val="false"/>
          <w:bCs w:val="false"/>
          <w:i w:val="false"/>
          <w:iCs w:val="false"/>
          <w:sz w:val="22"/>
          <w:szCs w:val="22"/>
        </w:rPr>
        <w:t xml:space="preserve">Hudobná výchova je klasifikovaná známkou.</w:t>
      </w:r>
    </w:p>
    <w:p>
      <w:pPr>
        <w:spacing w:after="120" w:before="0" w:line="360" w:lineRule="auto"/>
        <w:jc w:val="both"/>
      </w:pPr>
      <w:r>
        <w:rPr>
          <w:rFonts w:ascii="Calibri" w:cs="Calibri" w:eastAsia="Calibri" w:hAnsi="Calibri"/>
          <w:b w:val="false"/>
          <w:bCs w:val="false"/>
          <w:i w:val="false"/>
          <w:iCs w:val="false"/>
          <w:sz w:val="22"/>
          <w:szCs w:val="22"/>
        </w:rPr>
        <w:t xml:space="preserve">Hodnotenie je komplexnou činnosťou založenou na individuálnom prístupe k žiakovi, prevládajúcim znakom je pozitívne hodnotenie.</w:t>
      </w:r>
    </w:p>
    <w:p>
      <w:pPr>
        <w:spacing w:after="120" w:line="360" w:lineRule="auto"/>
        <w:jc w:val="both"/>
      </w:pPr>
      <w:r>
        <w:rPr>
          <w:rFonts w:ascii="Calibri" w:cs="Calibri" w:eastAsia="Calibri" w:hAnsi="Calibri"/>
          <w:b/>
          <w:bCs/>
          <w:i w:val="false"/>
          <w:iCs w:val="false"/>
          <w:sz w:val="22"/>
          <w:szCs w:val="22"/>
        </w:rPr>
        <w:t xml:space="preserve">Čo sa hodnotí</w:t>
      </w:r>
    </w:p>
    <w:p>
      <w:pPr>
        <w:pStyle w:val="ListParagraph"/>
        <w:numPr>
          <w:ilvl w:val="0"/>
          <w:numId w:val="2"/>
        </w:numPr>
        <w:spacing w:after="40" w:line="360" w:lineRule="auto"/>
        <w:jc w:val="both"/>
      </w:pPr>
      <w:r>
        <w:rPr>
          <w:rFonts w:ascii="Calibri" w:cs="Calibri" w:eastAsia="Calibri" w:hAnsi="Calibri"/>
          <w:b w:val="false"/>
          <w:bCs w:val="false"/>
          <w:i w:val="false"/>
          <w:iCs w:val="false"/>
          <w:sz w:val="22"/>
          <w:szCs w:val="22"/>
        </w:rPr>
        <w:t xml:space="preserve">prístup, záujem a aktivita žiaka na hodinách hudobnej výchovy</w:t>
      </w:r>
    </w:p>
    <w:p>
      <w:pPr>
        <w:pStyle w:val="ListParagraph"/>
        <w:numPr>
          <w:ilvl w:val="0"/>
          <w:numId w:val="2"/>
        </w:numPr>
        <w:spacing w:after="40" w:line="360" w:lineRule="auto"/>
        <w:jc w:val="both"/>
      </w:pPr>
      <w:r>
        <w:rPr>
          <w:rFonts w:ascii="Calibri" w:cs="Calibri" w:eastAsia="Calibri" w:hAnsi="Calibri"/>
          <w:b w:val="false"/>
          <w:bCs w:val="false"/>
          <w:i w:val="false"/>
          <w:iCs w:val="false"/>
          <w:sz w:val="22"/>
          <w:szCs w:val="22"/>
        </w:rPr>
        <w:t xml:space="preserve">úroveň osvojenia speváckych, intonačných, rytmických a pohybových zručností s prihliadnutím na individuálne predpoklady žiaka</w:t>
      </w:r>
    </w:p>
    <w:p>
      <w:pPr>
        <w:pStyle w:val="ListParagraph"/>
        <w:numPr>
          <w:ilvl w:val="0"/>
          <w:numId w:val="2"/>
        </w:numPr>
        <w:spacing w:after="40" w:line="360" w:lineRule="auto"/>
        <w:jc w:val="both"/>
      </w:pPr>
      <w:r>
        <w:rPr>
          <w:rFonts w:ascii="Calibri" w:cs="Calibri" w:eastAsia="Calibri" w:hAnsi="Calibri"/>
          <w:b w:val="false"/>
          <w:bCs w:val="false"/>
          <w:i w:val="false"/>
          <w:iCs w:val="false"/>
          <w:sz w:val="22"/>
          <w:szCs w:val="22"/>
        </w:rPr>
        <w:t xml:space="preserve">schopnosť aktívne počúvať, analyzovať a hodnotiť hudobné diela</w:t>
      </w:r>
    </w:p>
    <w:p>
      <w:pPr>
        <w:pStyle w:val="ListParagraph"/>
        <w:numPr>
          <w:ilvl w:val="0"/>
          <w:numId w:val="2"/>
        </w:numPr>
        <w:spacing w:after="40" w:line="360" w:lineRule="auto"/>
        <w:jc w:val="both"/>
      </w:pPr>
      <w:r>
        <w:rPr>
          <w:rFonts w:ascii="Calibri" w:cs="Calibri" w:eastAsia="Calibri" w:hAnsi="Calibri"/>
          <w:b w:val="false"/>
          <w:bCs w:val="false"/>
          <w:i w:val="false"/>
          <w:iCs w:val="false"/>
          <w:sz w:val="22"/>
          <w:szCs w:val="22"/>
        </w:rPr>
        <w:t xml:space="preserve">zapojenie do spoločných a hudobno-dramatických činností a tvorivý prístup</w:t>
      </w:r>
    </w:p>
    <w:p>
      <w:pPr>
        <w:spacing w:after="120" w:before="0" w:line="360" w:lineRule="auto"/>
        <w:jc w:val="both"/>
      </w:pPr>
      <w:r>
        <w:rPr>
          <w:rFonts w:ascii="Calibri" w:cs="Calibri" w:eastAsia="Calibri" w:hAnsi="Calibri"/>
          <w:b w:val="false"/>
          <w:bCs w:val="false"/>
          <w:i w:val="false"/>
          <w:iCs w:val="false"/>
          <w:sz w:val="22"/>
          <w:szCs w:val="22"/>
        </w:rPr>
        <w:t xml:space="preserve">Pri hodnotení sa uplatňuje najmä pozitívne hodnotenie a individuálny prístup zohľadňujúci rozdielne hudobné dispozície jednotlivých žiakov; výsledná známka nezohľadňuje výlučne talent, ale predovšetkým snahu, aktivitu a rozvoj žiaka v priebehu školského roka.</w:t>
      </w:r>
    </w:p>
    <w:p>
      <w:pPr>
        <w:pageBreakBefore/>
        <w:spacing w:after="120" w:before="360" w:line="360" w:lineRule="auto"/>
        <w:jc w:val="both"/>
      </w:pPr>
      <w:r>
        <w:rPr>
          <w:rFonts w:ascii="Calibri" w:cs="Calibri" w:eastAsia="Calibri" w:hAnsi="Calibri"/>
          <w:b/>
          <w:bCs/>
          <w:i w:val="false"/>
          <w:iCs w:val="false"/>
          <w:color w:val="2E74B5"/>
          <w:sz w:val="32"/>
          <w:szCs w:val="32"/>
        </w:rPr>
        <w:t xml:space="preserve">Učebné osnovy – 5. ročník</w:t>
      </w:r>
    </w:p>
    <w:p>
      <w:pPr>
        <w:spacing w:after="120"/>
        <w:jc w:val="both"/>
      </w:pPr>
      <w:r>
        <w:rPr>
          <w:rFonts w:ascii="Calibri" w:cs="Calibri" w:eastAsia="Calibri" w:hAnsi="Calibri"/>
          <w:b/>
          <w:bCs/>
          <w:i w:val="false"/>
          <w:iCs w:val="false"/>
          <w:sz w:val="22"/>
          <w:szCs w:val="22"/>
        </w:rPr>
        <w:t xml:space="preserve">Časová dotácia: </w:t>
      </w:r>
      <w:r>
        <w:rPr>
          <w:rFonts w:ascii="Calibri" w:cs="Calibri" w:eastAsia="Calibri" w:hAnsi="Calibri"/>
          <w:b w:val="false"/>
          <w:bCs w:val="false"/>
          <w:i w:val="false"/>
          <w:iCs w:val="false"/>
          <w:sz w:val="22"/>
          <w:szCs w:val="22"/>
        </w:rPr>
        <w:t xml:space="preserve">1 hodina týždenne, cca 33 hodín ročne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710"/>
        <w:gridCol w:w="3202"/>
        <w:gridCol w:w="3202"/>
        <w:gridCol w:w="1992"/>
      </w:tblGrid>
      <w:tr>
        <w:trPr>
          <w:tblHeader/>
        </w:trPr>
        <w:tc>
          <w:tcPr>
            <w:tcW w:type="dxa" w:w="1710"/>
            <w:shd w:fill="D9D9D9" w:color="auto" w:val="clear"/>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Tematický celok / počet hodín</w:t>
            </w:r>
          </w:p>
        </w:tc>
        <w:tc>
          <w:tcPr>
            <w:tcW w:type="dxa" w:w="3202"/>
            <w:shd w:fill="D9D9D9" w:color="auto" w:val="clear"/>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Obsahový štandard (učivo)</w:t>
            </w:r>
          </w:p>
        </w:tc>
        <w:tc>
          <w:tcPr>
            <w:tcW w:type="dxa" w:w="3202"/>
            <w:shd w:fill="D9D9D9" w:color="auto" w:val="clear"/>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Výkonový štandard</w:t>
            </w:r>
          </w:p>
        </w:tc>
        <w:tc>
          <w:tcPr>
            <w:tcW w:type="dxa" w:w="1992"/>
            <w:shd w:fill="D9D9D9" w:color="auto" w:val="clear"/>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Prierezové témy</w:t>
            </w:r>
          </w:p>
        </w:tc>
      </w:tr>
      <w:tr>
        <w:tc>
          <w:tcPr>
            <w:tcW w:type="dxa" w:w="1710"/>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Vokálne činnosti</w:t>
            </w:r>
          </w:p>
          <w:p>
            <w:pPr>
              <w:spacing w:after="0" w:line="240" w:lineRule="auto"/>
              <w:jc w:val="both"/>
            </w:pPr>
            <w:r>
              <w:rPr>
                <w:rFonts w:ascii="Calibri" w:cs="Calibri" w:eastAsia="Calibri" w:hAnsi="Calibri"/>
                <w:b w:val="false"/>
                <w:bCs w:val="false"/>
                <w:i/>
                <w:iCs/>
                <w:sz w:val="18"/>
                <w:szCs w:val="18"/>
              </w:rPr>
              <w:t xml:space="preserve">8 h</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nadviazanie na spevácke a rytmické zručnosti z 1. stupňa, rozširovanie hlasového rozsahu</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správne dýchanie a držanie tela pri speve</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spev jednohlasných ľudových a umelých piesní</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rytmizácia riekaniek a jednoduchých textov</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spieva intonačne čisto jednohlasné piesne primeraného rozsahu s výrazom</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ovláda základy speváckeho dýchania a artikulácie</w:t>
            </w:r>
          </w:p>
        </w:tc>
        <w:tc>
          <w:tcPr>
            <w:tcW w:type="dxa" w:w="1992"/>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OSR, OZO</w:t>
            </w:r>
          </w:p>
        </w:tc>
      </w:tr>
      <w:tr>
        <w:tc>
          <w:tcPr>
            <w:tcW w:type="dxa" w:w="1710"/>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Inštrumentálne činnosti</w:t>
            </w:r>
          </w:p>
          <w:p>
            <w:pPr>
              <w:spacing w:after="0" w:line="240" w:lineRule="auto"/>
              <w:jc w:val="both"/>
            </w:pPr>
            <w:r>
              <w:rPr>
                <w:rFonts w:ascii="Calibri" w:cs="Calibri" w:eastAsia="Calibri" w:hAnsi="Calibri"/>
                <w:b w:val="false"/>
                <w:bCs w:val="false"/>
                <w:i/>
                <w:iCs/>
                <w:sz w:val="18"/>
                <w:szCs w:val="18"/>
              </w:rPr>
              <w:t xml:space="preserve">6 h</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hra na detských hudobných nástrojoch (Orffov inštrumentár)</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rytmický sprievod k piesňam</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rozlišovanie farby (témbru) hudobných nástrojov</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vytvorí jednoduchý rytmický sprievod k piesni na detskom hudobnom nástroji</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rozpozná vybrané hudobné nástroje podľa zvuku</w:t>
            </w:r>
          </w:p>
        </w:tc>
        <w:tc>
          <w:tcPr>
            <w:tcW w:type="dxa" w:w="1992"/>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OSR, MDV</w:t>
            </w:r>
          </w:p>
        </w:tc>
      </w:tr>
      <w:tr>
        <w:tc>
          <w:tcPr>
            <w:tcW w:type="dxa" w:w="1710"/>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Hudobno-pohybové činnosti</w:t>
            </w:r>
          </w:p>
          <w:p>
            <w:pPr>
              <w:spacing w:after="0" w:line="240" w:lineRule="auto"/>
              <w:jc w:val="both"/>
            </w:pPr>
            <w:r>
              <w:rPr>
                <w:rFonts w:ascii="Calibri" w:cs="Calibri" w:eastAsia="Calibri" w:hAnsi="Calibri"/>
                <w:b w:val="false"/>
                <w:bCs w:val="false"/>
                <w:i/>
                <w:iCs/>
                <w:sz w:val="18"/>
                <w:szCs w:val="18"/>
              </w:rPr>
              <w:t xml:space="preserve">5 h</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pohybové vyjadrenie charakteru a nálady piesne</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jednoduché tanečné kroky</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hra na tele (rytmizácia telom)</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pohybom vyjadrí základný charakter a náladu piesne</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zvládne jednoduchý tanečný krok v rytme piesne</w:t>
            </w:r>
          </w:p>
        </w:tc>
        <w:tc>
          <w:tcPr>
            <w:tcW w:type="dxa" w:w="1992"/>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OSR, ENV</w:t>
            </w:r>
          </w:p>
        </w:tc>
      </w:tr>
      <w:tr>
        <w:tc>
          <w:tcPr>
            <w:tcW w:type="dxa" w:w="1710"/>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Hudba okolo nás</w:t>
            </w:r>
          </w:p>
          <w:p>
            <w:pPr>
              <w:spacing w:after="0" w:line="240" w:lineRule="auto"/>
              <w:jc w:val="both"/>
            </w:pPr>
            <w:r>
              <w:rPr>
                <w:rFonts w:ascii="Calibri" w:cs="Calibri" w:eastAsia="Calibri" w:hAnsi="Calibri"/>
                <w:b w:val="false"/>
                <w:bCs w:val="false"/>
                <w:i/>
                <w:iCs/>
                <w:sz w:val="18"/>
                <w:szCs w:val="18"/>
              </w:rPr>
              <w:t xml:space="preserve">11 h</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hudobné nástroje a ich základné skupiny (sláčikové, dychové, bicie, klávesové)</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opakovanie základov hudobnej náuky z 1. stupňa (nota, notová osnova, dĺžky nôt)</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ľudové zvyky a piesne Slovenska počas roka (Vianoce, Fašiangy, Veľká noc)</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jednoduchý grafický záznam melódie</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AIG: vyhľadávanie zvukových ukážok a videí hudobných nástrojov pomocou aplikácie/internetu pod vedením učiteľa</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rozpozná podľa zvuku základné skupiny hudobných nástrojov</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orientuje sa v jednoduchom grafickom zázname melódie</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pozná vybrané slovenské ľudové zvyky a piesne viazané na kalendárny rok</w:t>
            </w:r>
          </w:p>
        </w:tc>
        <w:tc>
          <w:tcPr>
            <w:tcW w:type="dxa" w:w="1992"/>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OSR, MDV, AIG</w:t>
            </w:r>
          </w:p>
        </w:tc>
      </w:tr>
      <w:tr>
        <w:tc>
          <w:tcPr>
            <w:tcW w:type="dxa" w:w="1710"/>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Hudobno-dramatické činnosti (projekt)</w:t>
            </w:r>
          </w:p>
          <w:p>
            <w:pPr>
              <w:spacing w:after="0" w:line="240" w:lineRule="auto"/>
              <w:jc w:val="both"/>
            </w:pPr>
            <w:r>
              <w:rPr>
                <w:rFonts w:ascii="Calibri" w:cs="Calibri" w:eastAsia="Calibri" w:hAnsi="Calibri"/>
                <w:b w:val="false"/>
                <w:bCs w:val="false"/>
                <w:i/>
                <w:iCs/>
                <w:sz w:val="18"/>
                <w:szCs w:val="18"/>
              </w:rPr>
              <w:t xml:space="preserve">3 h</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príprava krátkeho hudobno-pohybového pásma k ľudovým zvykom (napr. Vianoce, Fašiangy)</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zapojí sa do prípravy a predvedenia triedneho hudobno-pohybového pásma</w:t>
            </w:r>
          </w:p>
        </w:tc>
        <w:tc>
          <w:tcPr>
            <w:tcW w:type="dxa" w:w="1992"/>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OSR, MDV</w:t>
            </w:r>
          </w:p>
        </w:tc>
      </w:tr>
    </w:tbl>
    <w:p>
      <w:pPr>
        <w:pageBreakBefore/>
        <w:spacing w:after="120" w:before="360" w:line="360" w:lineRule="auto"/>
        <w:jc w:val="both"/>
      </w:pPr>
      <w:r>
        <w:rPr>
          <w:rFonts w:ascii="Calibri" w:cs="Calibri" w:eastAsia="Calibri" w:hAnsi="Calibri"/>
          <w:b/>
          <w:bCs/>
          <w:i w:val="false"/>
          <w:iCs w:val="false"/>
          <w:color w:val="2E74B5"/>
          <w:sz w:val="32"/>
          <w:szCs w:val="32"/>
        </w:rPr>
        <w:t xml:space="preserve">Učebné osnovy – 6. ročník</w:t>
      </w:r>
    </w:p>
    <w:p>
      <w:pPr>
        <w:spacing w:after="120"/>
        <w:jc w:val="both"/>
      </w:pPr>
      <w:r>
        <w:rPr>
          <w:rFonts w:ascii="Calibri" w:cs="Calibri" w:eastAsia="Calibri" w:hAnsi="Calibri"/>
          <w:b/>
          <w:bCs/>
          <w:i w:val="false"/>
          <w:iCs w:val="false"/>
          <w:sz w:val="22"/>
          <w:szCs w:val="22"/>
        </w:rPr>
        <w:t xml:space="preserve">Časová dotácia: </w:t>
      </w:r>
      <w:r>
        <w:rPr>
          <w:rFonts w:ascii="Calibri" w:cs="Calibri" w:eastAsia="Calibri" w:hAnsi="Calibri"/>
          <w:b w:val="false"/>
          <w:bCs w:val="false"/>
          <w:i w:val="false"/>
          <w:iCs w:val="false"/>
          <w:sz w:val="22"/>
          <w:szCs w:val="22"/>
        </w:rPr>
        <w:t xml:space="preserve">1 hodina týždenne, cca 33 hodín ročne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710"/>
        <w:gridCol w:w="3202"/>
        <w:gridCol w:w="3202"/>
        <w:gridCol w:w="1992"/>
      </w:tblGrid>
      <w:tr>
        <w:trPr>
          <w:tblHeader/>
        </w:trPr>
        <w:tc>
          <w:tcPr>
            <w:tcW w:type="dxa" w:w="1710"/>
            <w:shd w:fill="D9D9D9" w:color="auto" w:val="clear"/>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Tematický celok / počet hodín</w:t>
            </w:r>
          </w:p>
        </w:tc>
        <w:tc>
          <w:tcPr>
            <w:tcW w:type="dxa" w:w="3202"/>
            <w:shd w:fill="D9D9D9" w:color="auto" w:val="clear"/>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Obsahový štandard (učivo)</w:t>
            </w:r>
          </w:p>
        </w:tc>
        <w:tc>
          <w:tcPr>
            <w:tcW w:type="dxa" w:w="3202"/>
            <w:shd w:fill="D9D9D9" w:color="auto" w:val="clear"/>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Výkonový štandard</w:t>
            </w:r>
          </w:p>
        </w:tc>
        <w:tc>
          <w:tcPr>
            <w:tcW w:type="dxa" w:w="1992"/>
            <w:shd w:fill="D9D9D9" w:color="auto" w:val="clear"/>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Prierezové témy</w:t>
            </w:r>
          </w:p>
        </w:tc>
      </w:tr>
      <w:tr>
        <w:tc>
          <w:tcPr>
            <w:tcW w:type="dxa" w:w="1710"/>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Vokálne činnosti</w:t>
            </w:r>
          </w:p>
          <w:p>
            <w:pPr>
              <w:spacing w:after="0" w:line="240" w:lineRule="auto"/>
              <w:jc w:val="both"/>
            </w:pPr>
            <w:r>
              <w:rPr>
                <w:rFonts w:ascii="Calibri" w:cs="Calibri" w:eastAsia="Calibri" w:hAnsi="Calibri"/>
                <w:b w:val="false"/>
                <w:bCs w:val="false"/>
                <w:i/>
                <w:iCs/>
                <w:sz w:val="18"/>
                <w:szCs w:val="18"/>
              </w:rPr>
              <w:t xml:space="preserve">8 h</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hlasová hygiena</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spev dvojhlasných kánonov</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intonácia durových a molových motívov</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spev piesní vybraných slovenských regiónov</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spieva jednohlasne, prípadne v jednoduchom dvojhlase</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intonuje jednoduché durové a molové motívy</w:t>
            </w:r>
          </w:p>
        </w:tc>
        <w:tc>
          <w:tcPr>
            <w:tcW w:type="dxa" w:w="1992"/>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OSR, OZO</w:t>
            </w:r>
          </w:p>
        </w:tc>
      </w:tr>
      <w:tr>
        <w:tc>
          <w:tcPr>
            <w:tcW w:type="dxa" w:w="1710"/>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Inštrumentálne činnosti</w:t>
            </w:r>
          </w:p>
          <w:p>
            <w:pPr>
              <w:spacing w:after="0" w:line="240" w:lineRule="auto"/>
              <w:jc w:val="both"/>
            </w:pPr>
            <w:r>
              <w:rPr>
                <w:rFonts w:ascii="Calibri" w:cs="Calibri" w:eastAsia="Calibri" w:hAnsi="Calibri"/>
                <w:b w:val="false"/>
                <w:bCs w:val="false"/>
                <w:i/>
                <w:iCs/>
                <w:sz w:val="18"/>
                <w:szCs w:val="18"/>
              </w:rPr>
              <w:t xml:space="preserve">6 h</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nástrojová reprodukcia jednoduchých melódií</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hra rytmických ostinát</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sprievod k ľudovým piesňam a tancom</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zahrá jednoduchú melódiu alebo ostinato na dostupnom hudobnom nástroji</w:t>
            </w:r>
          </w:p>
        </w:tc>
        <w:tc>
          <w:tcPr>
            <w:tcW w:type="dxa" w:w="1992"/>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OSR, MDV</w:t>
            </w:r>
          </w:p>
        </w:tc>
      </w:tr>
      <w:tr>
        <w:tc>
          <w:tcPr>
            <w:tcW w:type="dxa" w:w="1710"/>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Hudobno-pohybové činnosti</w:t>
            </w:r>
          </w:p>
          <w:p>
            <w:pPr>
              <w:spacing w:after="0" w:line="240" w:lineRule="auto"/>
              <w:jc w:val="both"/>
            </w:pPr>
            <w:r>
              <w:rPr>
                <w:rFonts w:ascii="Calibri" w:cs="Calibri" w:eastAsia="Calibri" w:hAnsi="Calibri"/>
                <w:b w:val="false"/>
                <w:bCs w:val="false"/>
                <w:i/>
                <w:iCs/>
                <w:sz w:val="18"/>
                <w:szCs w:val="18"/>
              </w:rPr>
              <w:t xml:space="preserve">5 h</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taktovacie gestá</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tanečné kroky ľudových tancov slovenských regiónov</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pohybová improvizácia na znejúcu hudbu</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predvedie jednoduchý ľudový tanec vybraného slovenského regiónu</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taktuje jednoduchý takt</w:t>
            </w:r>
          </w:p>
        </w:tc>
        <w:tc>
          <w:tcPr>
            <w:tcW w:type="dxa" w:w="1992"/>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OSR, ENV</w:t>
            </w:r>
          </w:p>
        </w:tc>
      </w:tr>
      <w:tr>
        <w:tc>
          <w:tcPr>
            <w:tcW w:type="dxa" w:w="1710"/>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Hudba a jej výrazové prostriedky</w:t>
            </w:r>
          </w:p>
          <w:p>
            <w:pPr>
              <w:spacing w:after="0" w:line="240" w:lineRule="auto"/>
              <w:jc w:val="both"/>
            </w:pPr>
            <w:r>
              <w:rPr>
                <w:rFonts w:ascii="Calibri" w:cs="Calibri" w:eastAsia="Calibri" w:hAnsi="Calibri"/>
                <w:b w:val="false"/>
                <w:bCs w:val="false"/>
                <w:i/>
                <w:iCs/>
                <w:sz w:val="18"/>
                <w:szCs w:val="18"/>
              </w:rPr>
              <w:t xml:space="preserve">11 h</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rytmus, melódia, harmónia, dynamika a tempo ako základné výrazové prostriedky hudby</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durová a molová tonalita – sluchové rozlišovanie</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piesne a tance vybraných slovenských regiónov, ľudové kroje a zvyky</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AIG: použitie jednoduchej aplikácie na nahrávanie a spätné prehrávanie vlastného spevu</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sluchovo rozlišuje durové a molové znenie</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charakterizuje základné výrazové prostriedky počúvanej skladby (tempo, dynamika, rytmus)</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pozná piesne a tance aspoň troch slovenských regiónov</w:t>
            </w:r>
          </w:p>
        </w:tc>
        <w:tc>
          <w:tcPr>
            <w:tcW w:type="dxa" w:w="1992"/>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OSR, MDV, AIG</w:t>
            </w:r>
          </w:p>
        </w:tc>
      </w:tr>
      <w:tr>
        <w:tc>
          <w:tcPr>
            <w:tcW w:type="dxa" w:w="1710"/>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Hudobno-dramatické činnosti (projekt)</w:t>
            </w:r>
          </w:p>
          <w:p>
            <w:pPr>
              <w:spacing w:after="0" w:line="240" w:lineRule="auto"/>
              <w:jc w:val="both"/>
            </w:pPr>
            <w:r>
              <w:rPr>
                <w:rFonts w:ascii="Calibri" w:cs="Calibri" w:eastAsia="Calibri" w:hAnsi="Calibri"/>
                <w:b w:val="false"/>
                <w:bCs w:val="false"/>
                <w:i/>
                <w:iCs/>
                <w:sz w:val="18"/>
                <w:szCs w:val="18"/>
              </w:rPr>
              <w:t xml:space="preserve">3 h</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dramatizácia ľudovej rozprávky s hudobným a tanečným sprievodom podľa vybraného regiónu</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spolupracuje na tvorbe a predvedení jednoduchého hudobno-dramatického príbehu</w:t>
            </w:r>
          </w:p>
        </w:tc>
        <w:tc>
          <w:tcPr>
            <w:tcW w:type="dxa" w:w="1992"/>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OSR, MDV</w:t>
            </w:r>
          </w:p>
        </w:tc>
      </w:tr>
    </w:tbl>
    <w:p>
      <w:pPr>
        <w:pageBreakBefore/>
        <w:spacing w:after="120" w:before="360" w:line="360" w:lineRule="auto"/>
        <w:jc w:val="both"/>
      </w:pPr>
      <w:r>
        <w:rPr>
          <w:rFonts w:ascii="Calibri" w:cs="Calibri" w:eastAsia="Calibri" w:hAnsi="Calibri"/>
          <w:b/>
          <w:bCs/>
          <w:i w:val="false"/>
          <w:iCs w:val="false"/>
          <w:color w:val="2E74B5"/>
          <w:sz w:val="32"/>
          <w:szCs w:val="32"/>
        </w:rPr>
        <w:t xml:space="preserve">Učebné osnovy – 7. ročník</w:t>
      </w:r>
    </w:p>
    <w:p>
      <w:pPr>
        <w:spacing w:after="120"/>
        <w:jc w:val="both"/>
      </w:pPr>
      <w:r>
        <w:rPr>
          <w:rFonts w:ascii="Calibri" w:cs="Calibri" w:eastAsia="Calibri" w:hAnsi="Calibri"/>
          <w:b/>
          <w:bCs/>
          <w:i w:val="false"/>
          <w:iCs w:val="false"/>
          <w:sz w:val="22"/>
          <w:szCs w:val="22"/>
        </w:rPr>
        <w:t xml:space="preserve">Časová dotácia: </w:t>
      </w:r>
      <w:r>
        <w:rPr>
          <w:rFonts w:ascii="Calibri" w:cs="Calibri" w:eastAsia="Calibri" w:hAnsi="Calibri"/>
          <w:b w:val="false"/>
          <w:bCs w:val="false"/>
          <w:i w:val="false"/>
          <w:iCs w:val="false"/>
          <w:sz w:val="22"/>
          <w:szCs w:val="22"/>
        </w:rPr>
        <w:t xml:space="preserve">1 hodina týždenne, cca 33 hodín ročne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710"/>
        <w:gridCol w:w="3202"/>
        <w:gridCol w:w="3202"/>
        <w:gridCol w:w="1992"/>
      </w:tblGrid>
      <w:tr>
        <w:trPr>
          <w:tblHeader/>
        </w:trPr>
        <w:tc>
          <w:tcPr>
            <w:tcW w:type="dxa" w:w="1710"/>
            <w:shd w:fill="D9D9D9" w:color="auto" w:val="clear"/>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Tematický celok / počet hodín</w:t>
            </w:r>
          </w:p>
        </w:tc>
        <w:tc>
          <w:tcPr>
            <w:tcW w:type="dxa" w:w="3202"/>
            <w:shd w:fill="D9D9D9" w:color="auto" w:val="clear"/>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Obsahový štandard (učivo)</w:t>
            </w:r>
          </w:p>
        </w:tc>
        <w:tc>
          <w:tcPr>
            <w:tcW w:type="dxa" w:w="3202"/>
            <w:shd w:fill="D9D9D9" w:color="auto" w:val="clear"/>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Výkonový štandard</w:t>
            </w:r>
          </w:p>
        </w:tc>
        <w:tc>
          <w:tcPr>
            <w:tcW w:type="dxa" w:w="1992"/>
            <w:shd w:fill="D9D9D9" w:color="auto" w:val="clear"/>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Prierezové témy</w:t>
            </w:r>
          </w:p>
        </w:tc>
      </w:tr>
      <w:tr>
        <w:tc>
          <w:tcPr>
            <w:tcW w:type="dxa" w:w="1710"/>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Vokálne činnosti</w:t>
            </w:r>
          </w:p>
          <w:p>
            <w:pPr>
              <w:spacing w:after="0" w:line="240" w:lineRule="auto"/>
              <w:jc w:val="both"/>
            </w:pPr>
            <w:r>
              <w:rPr>
                <w:rFonts w:ascii="Calibri" w:cs="Calibri" w:eastAsia="Calibri" w:hAnsi="Calibri"/>
                <w:b w:val="false"/>
                <w:bCs w:val="false"/>
                <w:i/>
                <w:iCs/>
                <w:sz w:val="18"/>
                <w:szCs w:val="18"/>
              </w:rPr>
              <w:t xml:space="preserve">8 h</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kultivácia hlasového prejavu</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spev viachlasných piesní</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intonácia zložitejších melodických obmien</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spev piesní z obdobia renesancie a baroka</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spieva viachlasne so správnou intonáciou a výrazom</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sluchovo rozlišuje durové a molové súzvuky</w:t>
            </w:r>
          </w:p>
        </w:tc>
        <w:tc>
          <w:tcPr>
            <w:tcW w:type="dxa" w:w="1992"/>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OSR, OZO</w:t>
            </w:r>
          </w:p>
        </w:tc>
      </w:tr>
      <w:tr>
        <w:tc>
          <w:tcPr>
            <w:tcW w:type="dxa" w:w="1710"/>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Inštrumentálne činnosti</w:t>
            </w:r>
          </w:p>
          <w:p>
            <w:pPr>
              <w:spacing w:after="0" w:line="240" w:lineRule="auto"/>
              <w:jc w:val="both"/>
            </w:pPr>
            <w:r>
              <w:rPr>
                <w:rFonts w:ascii="Calibri" w:cs="Calibri" w:eastAsia="Calibri" w:hAnsi="Calibri"/>
                <w:b w:val="false"/>
                <w:bCs w:val="false"/>
                <w:i/>
                <w:iCs/>
                <w:sz w:val="18"/>
                <w:szCs w:val="18"/>
              </w:rPr>
              <w:t xml:space="preserve">6 h</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hra sprievodov k piesňam renesancie a baroka na detských nástrojoch alebo keyboarde</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improvizácia pri vyjadrovaní nálad</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vytvorí inštrumentálny sprievod rešpektujúci charakter piesne</w:t>
            </w:r>
          </w:p>
        </w:tc>
        <w:tc>
          <w:tcPr>
            <w:tcW w:type="dxa" w:w="1992"/>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OSR, MDV</w:t>
            </w:r>
          </w:p>
        </w:tc>
      </w:tr>
      <w:tr>
        <w:tc>
          <w:tcPr>
            <w:tcW w:type="dxa" w:w="1710"/>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Hudobno-pohybové činnosti</w:t>
            </w:r>
          </w:p>
          <w:p>
            <w:pPr>
              <w:spacing w:after="0" w:line="240" w:lineRule="auto"/>
              <w:jc w:val="both"/>
            </w:pPr>
            <w:r>
              <w:rPr>
                <w:rFonts w:ascii="Calibri" w:cs="Calibri" w:eastAsia="Calibri" w:hAnsi="Calibri"/>
                <w:b w:val="false"/>
                <w:bCs w:val="false"/>
                <w:i/>
                <w:iCs/>
                <w:sz w:val="18"/>
                <w:szCs w:val="18"/>
              </w:rPr>
              <w:t xml:space="preserve">5 h</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pohybové stvárnenie tancov renesancie a baroka (napr. pavana, menuet)</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reagovanie pohybom na zmeny tempa a dynamiky</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pohybom reaguje na zmeny tempa, dynamiky a charakteru znejúcej hudby</w:t>
            </w:r>
          </w:p>
        </w:tc>
        <w:tc>
          <w:tcPr>
            <w:tcW w:type="dxa" w:w="1992"/>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OSR, ENV</w:t>
            </w:r>
          </w:p>
        </w:tc>
      </w:tr>
      <w:tr>
        <w:tc>
          <w:tcPr>
            <w:tcW w:type="dxa" w:w="1710"/>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Hudba minulosti</w:t>
            </w:r>
          </w:p>
          <w:p>
            <w:pPr>
              <w:spacing w:after="0" w:line="240" w:lineRule="auto"/>
              <w:jc w:val="both"/>
            </w:pPr>
            <w:r>
              <w:rPr>
                <w:rFonts w:ascii="Calibri" w:cs="Calibri" w:eastAsia="Calibri" w:hAnsi="Calibri"/>
                <w:b w:val="false"/>
                <w:bCs w:val="false"/>
                <w:i/>
                <w:iCs/>
                <w:sz w:val="18"/>
                <w:szCs w:val="18"/>
              </w:rPr>
              <w:t xml:space="preserve">11 h</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hudba praveku a staroveku – rytmus ako praelement hudby</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stredoveká duchovná a svetská hudba</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hudobná renesancia – madrigal, dobový tanec</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hudobný barok – J. S. Bach, A. Vivaldi, G. F. Händel, integrácia hudby s inými druhmi umenia</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AIG: vyhľadávanie informácií o skladateľoch a dielach baroka pomocou digitálnych zdrojov a overovanie ich dôveryhodnosti</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charakterizuje typické znaky hudby vybraných historických období</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pozná mená a vybrané diela skladateľov obdobia baroka</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porovná pôvodné hudobné dielo s jeho moderným spracovaním</w:t>
            </w:r>
          </w:p>
        </w:tc>
        <w:tc>
          <w:tcPr>
            <w:tcW w:type="dxa" w:w="1992"/>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OSR, MDV, AIG</w:t>
            </w:r>
          </w:p>
        </w:tc>
      </w:tr>
      <w:tr>
        <w:tc>
          <w:tcPr>
            <w:tcW w:type="dxa" w:w="1710"/>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Hudobno-dramatické činnosti (projekt)</w:t>
            </w:r>
          </w:p>
          <w:p>
            <w:pPr>
              <w:spacing w:after="0" w:line="240" w:lineRule="auto"/>
              <w:jc w:val="both"/>
            </w:pPr>
            <w:r>
              <w:rPr>
                <w:rFonts w:ascii="Calibri" w:cs="Calibri" w:eastAsia="Calibri" w:hAnsi="Calibri"/>
                <w:b w:val="false"/>
                <w:bCs w:val="false"/>
                <w:i/>
                <w:iCs/>
                <w:sz w:val="18"/>
                <w:szCs w:val="18"/>
              </w:rPr>
              <w:t xml:space="preserve">3 h</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príprava scénky/prezentácie k obdobiu renesancie alebo baroka s hudobným sprievodom</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predvedie časť hudobno-dramatického príbehu s využitím vokálnych, pohybových a inštrumentálnych zručností</w:t>
            </w:r>
          </w:p>
        </w:tc>
        <w:tc>
          <w:tcPr>
            <w:tcW w:type="dxa" w:w="1992"/>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OSR, MDV</w:t>
            </w:r>
          </w:p>
        </w:tc>
      </w:tr>
    </w:tbl>
    <w:p>
      <w:pPr>
        <w:pageBreakBefore/>
        <w:spacing w:after="120" w:before="360" w:line="360" w:lineRule="auto"/>
        <w:jc w:val="both"/>
      </w:pPr>
      <w:r>
        <w:rPr>
          <w:rFonts w:ascii="Calibri" w:cs="Calibri" w:eastAsia="Calibri" w:hAnsi="Calibri"/>
          <w:b/>
          <w:bCs/>
          <w:i w:val="false"/>
          <w:iCs w:val="false"/>
          <w:color w:val="2E74B5"/>
          <w:sz w:val="32"/>
          <w:szCs w:val="32"/>
        </w:rPr>
        <w:t xml:space="preserve">Učebné osnovy – 8. ročník</w:t>
      </w:r>
    </w:p>
    <w:p>
      <w:pPr>
        <w:spacing w:after="120"/>
        <w:jc w:val="both"/>
      </w:pPr>
      <w:r>
        <w:rPr>
          <w:rFonts w:ascii="Calibri" w:cs="Calibri" w:eastAsia="Calibri" w:hAnsi="Calibri"/>
          <w:b/>
          <w:bCs/>
          <w:i w:val="false"/>
          <w:iCs w:val="false"/>
          <w:sz w:val="22"/>
          <w:szCs w:val="22"/>
        </w:rPr>
        <w:t xml:space="preserve">Časová dotácia: </w:t>
      </w:r>
      <w:r>
        <w:rPr>
          <w:rFonts w:ascii="Calibri" w:cs="Calibri" w:eastAsia="Calibri" w:hAnsi="Calibri"/>
          <w:b w:val="false"/>
          <w:bCs w:val="false"/>
          <w:i w:val="false"/>
          <w:iCs w:val="false"/>
          <w:sz w:val="22"/>
          <w:szCs w:val="22"/>
        </w:rPr>
        <w:t xml:space="preserve">1 hodina týždenne, cca 33 hodín ročne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710"/>
        <w:gridCol w:w="3202"/>
        <w:gridCol w:w="3202"/>
        <w:gridCol w:w="1992"/>
      </w:tblGrid>
      <w:tr>
        <w:trPr>
          <w:tblHeader/>
        </w:trPr>
        <w:tc>
          <w:tcPr>
            <w:tcW w:type="dxa" w:w="1710"/>
            <w:shd w:fill="D9D9D9" w:color="auto" w:val="clear"/>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Tematický celok / počet hodín</w:t>
            </w:r>
          </w:p>
        </w:tc>
        <w:tc>
          <w:tcPr>
            <w:tcW w:type="dxa" w:w="3202"/>
            <w:shd w:fill="D9D9D9" w:color="auto" w:val="clear"/>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Obsahový štandard (učivo)</w:t>
            </w:r>
          </w:p>
        </w:tc>
        <w:tc>
          <w:tcPr>
            <w:tcW w:type="dxa" w:w="3202"/>
            <w:shd w:fill="D9D9D9" w:color="auto" w:val="clear"/>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Výkonový štandard</w:t>
            </w:r>
          </w:p>
        </w:tc>
        <w:tc>
          <w:tcPr>
            <w:tcW w:type="dxa" w:w="1992"/>
            <w:shd w:fill="D9D9D9" w:color="auto" w:val="clear"/>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Prierezové témy</w:t>
            </w:r>
          </w:p>
        </w:tc>
      </w:tr>
      <w:tr>
        <w:tc>
          <w:tcPr>
            <w:tcW w:type="dxa" w:w="1710"/>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Vokálne činnosti</w:t>
            </w:r>
          </w:p>
          <w:p>
            <w:pPr>
              <w:spacing w:after="0" w:line="240" w:lineRule="auto"/>
              <w:jc w:val="both"/>
            </w:pPr>
            <w:r>
              <w:rPr>
                <w:rFonts w:ascii="Calibri" w:cs="Calibri" w:eastAsia="Calibri" w:hAnsi="Calibri"/>
                <w:b w:val="false"/>
                <w:bCs w:val="false"/>
                <w:i/>
                <w:iCs/>
                <w:sz w:val="18"/>
                <w:szCs w:val="18"/>
              </w:rPr>
              <w:t xml:space="preserve">8 h</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hlasová hygiena v období hlasovej mutácie</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spev umeleckých piesní slovenských skladateľov</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práca s hlasom v skupine/triednom zbore</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uplatňuje zásady hlasovej hygieny primerane svojmu hlasovému vývinu</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spieva umelecké piesne slovenských autorov so správnym výrazom</w:t>
            </w:r>
          </w:p>
        </w:tc>
        <w:tc>
          <w:tcPr>
            <w:tcW w:type="dxa" w:w="1992"/>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OSR, OZO</w:t>
            </w:r>
          </w:p>
        </w:tc>
      </w:tr>
      <w:tr>
        <w:tc>
          <w:tcPr>
            <w:tcW w:type="dxa" w:w="1710"/>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Inštrumentálne činnosti</w:t>
            </w:r>
          </w:p>
          <w:p>
            <w:pPr>
              <w:spacing w:after="0" w:line="240" w:lineRule="auto"/>
              <w:jc w:val="both"/>
            </w:pPr>
            <w:r>
              <w:rPr>
                <w:rFonts w:ascii="Calibri" w:cs="Calibri" w:eastAsia="Calibri" w:hAnsi="Calibri"/>
                <w:b w:val="false"/>
                <w:bCs w:val="false"/>
                <w:i/>
                <w:iCs/>
                <w:sz w:val="18"/>
                <w:szCs w:val="18"/>
              </w:rPr>
              <w:t xml:space="preserve">6 h</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tvorba sprievodu k umelým piesňam slovenských skladateľov</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práca s keyboardom/počítačom pri tvorbe jednoduchého sprievodu</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nástrojovo reprodukuje motívy a témy skladieb primeranej náročnosti</w:t>
            </w:r>
          </w:p>
        </w:tc>
        <w:tc>
          <w:tcPr>
            <w:tcW w:type="dxa" w:w="1992"/>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OSR, MDV</w:t>
            </w:r>
          </w:p>
        </w:tc>
      </w:tr>
      <w:tr>
        <w:tc>
          <w:tcPr>
            <w:tcW w:type="dxa" w:w="1710"/>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Hudobno-pohybové činnosti</w:t>
            </w:r>
          </w:p>
          <w:p>
            <w:pPr>
              <w:spacing w:after="0" w:line="240" w:lineRule="auto"/>
              <w:jc w:val="both"/>
            </w:pPr>
            <w:r>
              <w:rPr>
                <w:rFonts w:ascii="Calibri" w:cs="Calibri" w:eastAsia="Calibri" w:hAnsi="Calibri"/>
                <w:b w:val="false"/>
                <w:bCs w:val="false"/>
                <w:i/>
                <w:iCs/>
                <w:sz w:val="18"/>
                <w:szCs w:val="18"/>
              </w:rPr>
              <w:t xml:space="preserve">5 h</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pohybové vyjadrenie hudby romantizmu a impresionizmu</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tvorba jednoduchej pohybovej improvizácie/choreografie</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vytvorí a predvedie jednoduchú pohybovú improvizáciu na počúvanú skladbu</w:t>
            </w:r>
          </w:p>
        </w:tc>
        <w:tc>
          <w:tcPr>
            <w:tcW w:type="dxa" w:w="1992"/>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OSR, ENV</w:t>
            </w:r>
          </w:p>
        </w:tc>
      </w:tr>
      <w:tr>
        <w:tc>
          <w:tcPr>
            <w:tcW w:type="dxa" w:w="1710"/>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Hudba klasicizmu a romantizmu</w:t>
            </w:r>
          </w:p>
          <w:p>
            <w:pPr>
              <w:spacing w:after="0" w:line="240" w:lineRule="auto"/>
              <w:jc w:val="both"/>
            </w:pPr>
            <w:r>
              <w:rPr>
                <w:rFonts w:ascii="Calibri" w:cs="Calibri" w:eastAsia="Calibri" w:hAnsi="Calibri"/>
                <w:b w:val="false"/>
                <w:bCs w:val="false"/>
                <w:i/>
                <w:iCs/>
                <w:sz w:val="18"/>
                <w:szCs w:val="18"/>
              </w:rPr>
              <w:t xml:space="preserve">11 h</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hudba klasicizmu – J. Haydn, W. A. Mozart, L. van Beethoven</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romantizmus a novoromantizmus – F. Schubert, R. Schumann, A. Dvořák, B. Smetana</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slovenskí skladatelia 19. storočia – J. L. Bella, V. Figuš-Bystrý, M. Schneider-Trnavský</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od romantizmu k hudbe 20. storočia – impresionizmus (C. Debussy, M. Ravel)</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AIG: porovnanie rôznych nahrávok tej istej skladby dostupných online, posúdenie kvality a dôveryhodnosti zdroja</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rozpozná typické znaky klasicizmu a romantizmu v znejúcej hudbe</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pozná osobnosti a diela slovenskej hudobnej kultúry 19. storočia</w:t>
            </w:r>
          </w:p>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porovná spracovanie podobnej hudobnej myšlienky rôznymi skladateľmi</w:t>
            </w:r>
          </w:p>
        </w:tc>
        <w:tc>
          <w:tcPr>
            <w:tcW w:type="dxa" w:w="1992"/>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OSR, MDV, AIG</w:t>
            </w:r>
          </w:p>
        </w:tc>
      </w:tr>
      <w:tr>
        <w:tc>
          <w:tcPr>
            <w:tcW w:type="dxa" w:w="1710"/>
            <w:tcMar>
              <w:top w:type="dxa" w:w="40"/>
              <w:left w:type="dxa" w:w="100"/>
              <w:bottom w:type="dxa" w:w="40"/>
              <w:right w:type="dxa" w:w="100"/>
            </w:tcMar>
          </w:tcPr>
          <w:p>
            <w:pPr>
              <w:spacing w:after="40" w:line="240" w:lineRule="auto"/>
              <w:jc w:val="both"/>
            </w:pPr>
            <w:r>
              <w:rPr>
                <w:rFonts w:ascii="Calibri" w:cs="Calibri" w:eastAsia="Calibri" w:hAnsi="Calibri"/>
                <w:b/>
                <w:bCs/>
                <w:i w:val="false"/>
                <w:iCs w:val="false"/>
                <w:sz w:val="18"/>
                <w:szCs w:val="18"/>
              </w:rPr>
              <w:t xml:space="preserve">Hudobno-dramatické činnosti (projekt)</w:t>
            </w:r>
          </w:p>
          <w:p>
            <w:pPr>
              <w:spacing w:after="0" w:line="240" w:lineRule="auto"/>
              <w:jc w:val="both"/>
            </w:pPr>
            <w:r>
              <w:rPr>
                <w:rFonts w:ascii="Calibri" w:cs="Calibri" w:eastAsia="Calibri" w:hAnsi="Calibri"/>
                <w:b w:val="false"/>
                <w:bCs w:val="false"/>
                <w:i/>
                <w:iCs/>
                <w:sz w:val="18"/>
                <w:szCs w:val="18"/>
              </w:rPr>
              <w:t xml:space="preserve">3 h</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príprava triedneho koncertu/prezentácie venovanej slovenskej hudbe 19. storočia</w:t>
            </w:r>
          </w:p>
        </w:tc>
        <w:tc>
          <w:tcPr>
            <w:tcW w:type="dxa" w:w="3202"/>
            <w:tcMar>
              <w:top w:type="dxa" w:w="40"/>
              <w:left w:type="dxa" w:w="100"/>
              <w:bottom w:type="dxa" w:w="40"/>
              <w:right w:type="dxa" w:w="100"/>
            </w:tcMar>
          </w:tcPr>
          <w:p>
            <w:pPr>
              <w:pStyle w:val="ListParagraph"/>
              <w:numPr>
                <w:ilvl w:val="0"/>
                <w:numId w:val="2"/>
              </w:numPr>
              <w:spacing w:after="30" w:line="240" w:lineRule="auto"/>
              <w:jc w:val="both"/>
            </w:pPr>
            <w:r>
              <w:rPr>
                <w:rFonts w:ascii="Calibri" w:cs="Calibri" w:eastAsia="Calibri" w:hAnsi="Calibri"/>
                <w:b w:val="false"/>
                <w:bCs w:val="false"/>
                <w:i w:val="false"/>
                <w:iCs w:val="false"/>
                <w:sz w:val="18"/>
                <w:szCs w:val="18"/>
              </w:rPr>
              <w:t xml:space="preserve">podieľa sa na príprave a realizácii verejného vystúpenia triedy</w:t>
            </w:r>
          </w:p>
        </w:tc>
        <w:tc>
          <w:tcPr>
            <w:tcW w:type="dxa" w:w="1992"/>
            <w:tcMar>
              <w:top w:type="dxa" w:w="40"/>
              <w:left w:type="dxa" w:w="100"/>
              <w:bottom w:type="dxa" w:w="40"/>
              <w:right w:type="dxa" w:w="100"/>
            </w:tcMar>
          </w:tcPr>
          <w:p>
            <w:pPr>
              <w:spacing w:after="40" w:line="240" w:lineRule="auto"/>
              <w:jc w:val="both"/>
            </w:pPr>
            <w:r>
              <w:rPr>
                <w:rFonts w:ascii="Calibri" w:cs="Calibri" w:eastAsia="Calibri" w:hAnsi="Calibri"/>
                <w:b w:val="false"/>
                <w:bCs w:val="false"/>
                <w:i w:val="false"/>
                <w:iCs w:val="false"/>
                <w:sz w:val="18"/>
                <w:szCs w:val="18"/>
              </w:rPr>
              <w:t xml:space="preserve">OSR, MDV</w:t>
            </w:r>
          </w:p>
        </w:tc>
      </w:tr>
    </w:tbl>
    <w:sectPr>
      <w:pgSz w:w="11906" w:h="16838" w:orient="portrait"/>
      <w:pgMar w:top="1000" w:right="900" w:bottom="10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2026-09-11T09:51:43.291Z</dcterms:created>
  <dcterms:modified xsi:type="dcterms:W3CDTF">2026-09-11T09:51:43.303Z</dcterms:modified>
</cp:coreProperties>
</file>

<file path=docProps/custom.xml><?xml version="1.0" encoding="utf-8"?>
<Properties xmlns="http://schemas.openxmlformats.org/officeDocument/2006/custom-properties" xmlns:vt="http://schemas.openxmlformats.org/officeDocument/2006/docPropsVTypes"/>
</file>