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71634" w14:textId="77777777" w:rsidR="0046744D" w:rsidRDefault="00000000">
      <w:pPr>
        <w:spacing w:after="60"/>
        <w:jc w:val="center"/>
      </w:pPr>
      <w:r>
        <w:rPr>
          <w:rFonts w:ascii="Calibri" w:eastAsia="Calibri" w:hAnsi="Calibri" w:cs="Calibri"/>
          <w:i/>
          <w:iCs/>
          <w:sz w:val="24"/>
          <w:szCs w:val="24"/>
        </w:rPr>
        <w:t>Školský vzdelávací program</w:t>
      </w:r>
    </w:p>
    <w:p w14:paraId="2CBBB5FD" w14:textId="77777777" w:rsidR="0046744D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32"/>
          <w:szCs w:val="32"/>
        </w:rPr>
        <w:t>OBČIANSKA NÁUKA</w:t>
      </w:r>
    </w:p>
    <w:p w14:paraId="3841705F" w14:textId="77777777" w:rsidR="0046744D" w:rsidRDefault="00000000">
      <w:pPr>
        <w:spacing w:after="120"/>
      </w:pPr>
      <w:r>
        <w:rPr>
          <w:rFonts w:ascii="Calibri" w:eastAsia="Calibri" w:hAnsi="Calibri" w:cs="Calibri"/>
          <w:b/>
          <w:bCs/>
        </w:rPr>
        <w:t xml:space="preserve">Vzdelávacia oblasť: </w:t>
      </w:r>
      <w:r>
        <w:rPr>
          <w:rFonts w:ascii="Calibri" w:eastAsia="Calibri" w:hAnsi="Calibri" w:cs="Calibri"/>
        </w:rPr>
        <w:t>Človek a spoločnosť</w:t>
      </w:r>
    </w:p>
    <w:p w14:paraId="4180AE99" w14:textId="77777777" w:rsidR="0046744D" w:rsidRDefault="00000000">
      <w:pPr>
        <w:spacing w:after="120"/>
      </w:pPr>
      <w:r>
        <w:rPr>
          <w:rFonts w:ascii="Calibri" w:eastAsia="Calibri" w:hAnsi="Calibri" w:cs="Calibri"/>
          <w:b/>
          <w:bCs/>
        </w:rPr>
        <w:t xml:space="preserve">Vyučovací predmet: </w:t>
      </w:r>
      <w:r>
        <w:rPr>
          <w:rFonts w:ascii="Calibri" w:eastAsia="Calibri" w:hAnsi="Calibri" w:cs="Calibri"/>
        </w:rPr>
        <w:t>Občianska náuka</w:t>
      </w:r>
    </w:p>
    <w:p w14:paraId="00B7055E" w14:textId="77777777" w:rsidR="0046744D" w:rsidRDefault="00000000">
      <w:pPr>
        <w:spacing w:after="120"/>
      </w:pPr>
      <w:r>
        <w:rPr>
          <w:rFonts w:ascii="Calibri" w:eastAsia="Calibri" w:hAnsi="Calibri" w:cs="Calibri"/>
          <w:b/>
          <w:bCs/>
        </w:rPr>
        <w:t xml:space="preserve">Ročník: </w:t>
      </w:r>
      <w:r>
        <w:rPr>
          <w:rFonts w:ascii="Calibri" w:eastAsia="Calibri" w:hAnsi="Calibri" w:cs="Calibri"/>
        </w:rPr>
        <w:t>6. – 9. ročník (nižšie stredné vzdelávanie – ISCED 2)</w:t>
      </w:r>
    </w:p>
    <w:p w14:paraId="08559C34" w14:textId="77777777" w:rsidR="0046744D" w:rsidRDefault="00000000">
      <w:pPr>
        <w:spacing w:after="120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1 hodina týždenne, spolu cca 33 vyučovacích hodín ročne (pri 33 týždňoch výučby – skutočný počet sa upraví podľa reálneho počtu vyučovacích týždňov v školskom roku)</w:t>
      </w:r>
    </w:p>
    <w:p w14:paraId="57561B15" w14:textId="77777777" w:rsidR="0046744D" w:rsidRDefault="00000000">
      <w:pPr>
        <w:spacing w:after="120"/>
      </w:pPr>
      <w:r>
        <w:rPr>
          <w:rFonts w:ascii="Calibri" w:eastAsia="Calibri" w:hAnsi="Calibri" w:cs="Calibri"/>
          <w:b/>
          <w:bCs/>
        </w:rPr>
        <w:t xml:space="preserve">Školský rok: </w:t>
      </w:r>
      <w:r>
        <w:rPr>
          <w:rFonts w:ascii="Calibri" w:eastAsia="Calibri" w:hAnsi="Calibri" w:cs="Calibri"/>
        </w:rPr>
        <w:t>2026/2027</w:t>
      </w:r>
    </w:p>
    <w:p w14:paraId="1D59CFB5" w14:textId="77777777" w:rsidR="0046744D" w:rsidRDefault="00000000">
      <w:pPr>
        <w:spacing w:after="120"/>
      </w:pPr>
      <w:r>
        <w:rPr>
          <w:rFonts w:ascii="Calibri" w:eastAsia="Calibri" w:hAnsi="Calibri" w:cs="Calibri"/>
        </w:rPr>
        <w:t>Vypracované v súlade so štátnym vzdelávacím štandardom pre predmet Občianska náuka – nižšie stredné vzdelávanie (Štátny pedagogický ústav) a s Dodatkom č. 17 k štátnym vzdelávacím programom (</w:t>
      </w:r>
      <w:proofErr w:type="spellStart"/>
      <w:r>
        <w:rPr>
          <w:rFonts w:ascii="Calibri" w:eastAsia="Calibri" w:hAnsi="Calibri" w:cs="Calibri"/>
        </w:rPr>
        <w:t>MŠVVaM</w:t>
      </w:r>
      <w:proofErr w:type="spellEnd"/>
      <w:r>
        <w:rPr>
          <w:rFonts w:ascii="Calibri" w:eastAsia="Calibri" w:hAnsi="Calibri" w:cs="Calibri"/>
        </w:rPr>
        <w:t xml:space="preserve"> SR, č. 2026/10555:2-A3610, účinnosť od 1. 3. 2026), ktorým sa do prierezových tém dopĺňa AI gramotnosť.</w:t>
      </w:r>
    </w:p>
    <w:p w14:paraId="19821119" w14:textId="77777777" w:rsidR="0046744D" w:rsidRDefault="00000000">
      <w:pPr>
        <w:pStyle w:val="Nadpis1"/>
        <w:spacing w:before="240" w:after="120"/>
      </w:pPr>
      <w:r>
        <w:rPr>
          <w:rFonts w:ascii="Calibri" w:eastAsia="Calibri" w:hAnsi="Calibri" w:cs="Calibri"/>
          <w:b/>
          <w:bCs/>
        </w:rPr>
        <w:t>Charakteristika predmetu</w:t>
      </w:r>
    </w:p>
    <w:p w14:paraId="2DD6A45B" w14:textId="77777777" w:rsidR="0046744D" w:rsidRDefault="00000000">
      <w:pPr>
        <w:spacing w:after="120"/>
      </w:pPr>
      <w:r>
        <w:rPr>
          <w:rFonts w:ascii="Calibri" w:eastAsia="Calibri" w:hAnsi="Calibri" w:cs="Calibri"/>
        </w:rPr>
        <w:t>Predmet prispieva k vytváraniu a rozvoju sociálneho a občianskeho vedomia žiakov. Prostredníctvom vymedzených pojmov a výkonov sprostredkuje potrebné vedomosti, zručnosti a nadobudnutie spôsobilostí, ktoré im umožnia orientovať sa v sociálnom prostredí a v bežných životných situáciách. Umožňuje žiakom pochopiť seba samých a pomáha im v ich socializačnom procese. Vedie ich k poznávaniu svojej rodiny, školy, obce, regiónu, Slovenska a Európskej únie. Učí ich demokraticky myslieť a konať, poznávať svoje práva a povinnosti a obhajovať práva druhých. Poskytuje žiakom základné vedomosti z oblasti štátu a práva, umožňuje im pochopiť ekonomický život spoločnosti a vedie ich k aktívnej občianskej angažovanosti, ktorej jedným z dôležitých predpokladov je kritické myslenie.</w:t>
      </w:r>
    </w:p>
    <w:p w14:paraId="1E6BFA59" w14:textId="77777777" w:rsidR="0046744D" w:rsidRDefault="00000000">
      <w:pPr>
        <w:pStyle w:val="Nadpis1"/>
        <w:spacing w:before="240" w:after="120"/>
      </w:pPr>
      <w:r>
        <w:rPr>
          <w:rFonts w:ascii="Calibri" w:eastAsia="Calibri" w:hAnsi="Calibri" w:cs="Calibri"/>
          <w:b/>
          <w:bCs/>
        </w:rPr>
        <w:t>Ciele predmetu</w:t>
      </w:r>
    </w:p>
    <w:p w14:paraId="2F6FE028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získajú vedomie jedinečnosti a neopakovateľnosti každého človeka v spoločnosti</w:t>
      </w:r>
    </w:p>
    <w:p w14:paraId="71F71E5E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realisticky sa spoznávajú, hodnotia seba samých</w:t>
      </w:r>
    </w:p>
    <w:p w14:paraId="3054F310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osvoja si pravidlá a normy spoločenského spolunažívania</w:t>
      </w:r>
    </w:p>
    <w:p w14:paraId="45FD6A7A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uvedomujú si práva a povinnosti a primerane svoje práva obhajujú</w:t>
      </w:r>
    </w:p>
    <w:p w14:paraId="25EAB6F8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preberajú zodpovednosť za vlastné názory, postoje a dôsledky konania</w:t>
      </w:r>
    </w:p>
    <w:p w14:paraId="387A0A1B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uznávajú základné princípy demokracie</w:t>
      </w:r>
    </w:p>
    <w:p w14:paraId="3CE2889F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budujú si tolerantný prístup k iným názorom, postojom, hodnotám a kultúram</w:t>
      </w:r>
    </w:p>
    <w:p w14:paraId="59A01B4B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učia sa aktívnemu občianstvu a osobnej angažovanosti</w:t>
      </w:r>
    </w:p>
    <w:p w14:paraId="6E43FCC9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získajú základné vedomosti o sociálnoekonomickom a právnom fungovaní spoločnosti</w:t>
      </w:r>
    </w:p>
    <w:p w14:paraId="4145A47B" w14:textId="77777777" w:rsidR="0046744D" w:rsidRDefault="00000000">
      <w:pPr>
        <w:pStyle w:val="Nadpis1"/>
        <w:spacing w:before="240" w:after="120"/>
      </w:pPr>
      <w:r>
        <w:rPr>
          <w:rFonts w:ascii="Calibri" w:eastAsia="Calibri" w:hAnsi="Calibri" w:cs="Calibri"/>
          <w:b/>
          <w:bCs/>
        </w:rPr>
        <w:t>Prierezové témy a AI gramotnosť</w:t>
      </w:r>
    </w:p>
    <w:p w14:paraId="27C3C718" w14:textId="77777777" w:rsidR="0046744D" w:rsidRDefault="00000000">
      <w:pPr>
        <w:spacing w:after="120"/>
      </w:pPr>
      <w:r>
        <w:rPr>
          <w:rFonts w:ascii="Calibri" w:eastAsia="Calibri" w:hAnsi="Calibri" w:cs="Calibri"/>
        </w:rPr>
        <w:t>Na základe Dodatku č. 17 k štátnym vzdelávacím programom (</w:t>
      </w:r>
      <w:proofErr w:type="spellStart"/>
      <w:r>
        <w:rPr>
          <w:rFonts w:ascii="Calibri" w:eastAsia="Calibri" w:hAnsi="Calibri" w:cs="Calibri"/>
        </w:rPr>
        <w:t>MŠVVaM</w:t>
      </w:r>
      <w:proofErr w:type="spellEnd"/>
      <w:r>
        <w:rPr>
          <w:rFonts w:ascii="Calibri" w:eastAsia="Calibri" w:hAnsi="Calibri" w:cs="Calibri"/>
        </w:rPr>
        <w:t xml:space="preserve"> SR, účinnosť od 1. 3. 2026) sa do prierezových tém dopĺňa AI gramotnosť (AIG). V predmete Občianska náuka sa realizuje integráciou do jednotlivých tematických celkov – žiaci sa venujú napr. vplyvu AI na trh práce a profesie, etickým a právnym aspektom AI (autorské práva, ochrana súkromia), rozpoznávaniu dezinformácií a </w:t>
      </w:r>
      <w:proofErr w:type="spellStart"/>
      <w:r>
        <w:rPr>
          <w:rFonts w:ascii="Calibri" w:eastAsia="Calibri" w:hAnsi="Calibri" w:cs="Calibri"/>
        </w:rPr>
        <w:t>deepfakes</w:t>
      </w:r>
      <w:proofErr w:type="spellEnd"/>
      <w:r>
        <w:rPr>
          <w:rFonts w:ascii="Calibri" w:eastAsia="Calibri" w:hAnsi="Calibri" w:cs="Calibri"/>
        </w:rPr>
        <w:t xml:space="preserve">, ako aj digitálnemu </w:t>
      </w:r>
      <w:proofErr w:type="spellStart"/>
      <w:r>
        <w:rPr>
          <w:rFonts w:ascii="Calibri" w:eastAsia="Calibri" w:hAnsi="Calibri" w:cs="Calibri"/>
        </w:rPr>
        <w:t>wellbeingu</w:t>
      </w:r>
      <w:proofErr w:type="spellEnd"/>
      <w:r>
        <w:rPr>
          <w:rFonts w:ascii="Calibri" w:eastAsia="Calibri" w:hAnsi="Calibri" w:cs="Calibri"/>
        </w:rPr>
        <w:t xml:space="preserve"> vo vzťahu k sociálnym sieťam.</w:t>
      </w:r>
    </w:p>
    <w:p w14:paraId="1CB9B757" w14:textId="77777777" w:rsidR="0046744D" w:rsidRDefault="00000000">
      <w:pPr>
        <w:spacing w:after="120"/>
      </w:pPr>
      <w:r>
        <w:rPr>
          <w:rFonts w:ascii="Calibri" w:eastAsia="Calibri" w:hAnsi="Calibri" w:cs="Calibri"/>
        </w:rPr>
        <w:t>Použité skratky prierezových tém: OSR – Osobnostný a sociálny rozvoj, OZO – Ochrana života a zdravia, ENV – Environmentálna výchova, MDV – Mediálna výchova, MUV – Multikultúrna výchova, AIG – AI gramotnosť.</w:t>
      </w:r>
    </w:p>
    <w:p w14:paraId="1BBB535C" w14:textId="77777777" w:rsidR="0046744D" w:rsidRDefault="00000000">
      <w:pPr>
        <w:pStyle w:val="Nadpis1"/>
        <w:spacing w:before="240" w:after="120"/>
      </w:pPr>
      <w:r>
        <w:rPr>
          <w:rFonts w:ascii="Calibri" w:eastAsia="Calibri" w:hAnsi="Calibri" w:cs="Calibri"/>
          <w:b/>
          <w:bCs/>
        </w:rPr>
        <w:t>Hodnotenie a klasifikácia predmetu</w:t>
      </w:r>
    </w:p>
    <w:p w14:paraId="7C79A039" w14:textId="77777777" w:rsidR="0046744D" w:rsidRDefault="00000000">
      <w:pPr>
        <w:spacing w:after="120"/>
      </w:pPr>
      <w:r>
        <w:rPr>
          <w:rFonts w:ascii="Calibri" w:eastAsia="Calibri" w:hAnsi="Calibri" w:cs="Calibri"/>
        </w:rPr>
        <w:t>Cieľom hodnotenia je poskytnúť žiakovi a jeho rodičom spätnú väzbu o tom, ako žiak zvládol danú problematiku, v čom má nedostatky a aké pokroky naopak dosiahol, prípadne poskytnúť systém krokov, ako postupovať ďalej. Súčasťou hodnotenia je tiež povzbudenie do ďalšej práce. V procese hodnotenia sa uplatňuje primeraná náročnosť, pedagogický takt voči žiakovi a humánny prístup. Zohľadňuje sa aj usilovnosť a individuálne osobitosti žiaka.</w:t>
      </w:r>
    </w:p>
    <w:p w14:paraId="6104A690" w14:textId="77777777" w:rsidR="0046744D" w:rsidRDefault="00000000">
      <w:pPr>
        <w:spacing w:after="120"/>
      </w:pPr>
      <w:r>
        <w:rPr>
          <w:rFonts w:ascii="Calibri" w:eastAsia="Calibri" w:hAnsi="Calibri" w:cs="Calibri"/>
        </w:rPr>
        <w:t>Využíva sa aj slovné hodnotenie (klady a nedostatky práce žiaka), motivačné hodnotenie a hodnotenie čiastkových úloh. U žiakov sa rozvíja správne sebahodnotenie i hodnotenie navzájom.</w:t>
      </w:r>
    </w:p>
    <w:p w14:paraId="3D356EAB" w14:textId="77777777" w:rsidR="00B00B94" w:rsidRDefault="00B00B94">
      <w:pPr>
        <w:spacing w:after="120"/>
        <w:rPr>
          <w:rFonts w:ascii="Calibri" w:eastAsia="Calibri" w:hAnsi="Calibri" w:cs="Calibri"/>
          <w:b/>
          <w:bCs/>
        </w:rPr>
      </w:pPr>
    </w:p>
    <w:p w14:paraId="0A76C5E5" w14:textId="4EAC25DD" w:rsidR="0046744D" w:rsidRDefault="00000000">
      <w:pPr>
        <w:spacing w:after="120"/>
      </w:pPr>
      <w:r>
        <w:rPr>
          <w:rFonts w:ascii="Calibri" w:eastAsia="Calibri" w:hAnsi="Calibri" w:cs="Calibri"/>
          <w:b/>
          <w:bCs/>
        </w:rPr>
        <w:lastRenderedPageBreak/>
        <w:t>Hodnotenie práce žiaka pozostáva:</w:t>
      </w:r>
    </w:p>
    <w:p w14:paraId="0992A508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z ústnych odpovedí (žiak bude ústne odpovedať minimálne 1× v danom polroku)</w:t>
      </w:r>
    </w:p>
    <w:p w14:paraId="59D1D848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z písomných odpovedí (žiak bude skúšaný písomnou formou – testom, alebo krátkych písomných prác – po prebratí tematického celku alebo jeho časti)</w:t>
      </w:r>
    </w:p>
    <w:p w14:paraId="62631AB8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z tvorby a prezentácie referátov a prezentácií</w:t>
      </w:r>
    </w:p>
    <w:p w14:paraId="0F04F983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zo samostatnej práce na hodinách (pracovné listy, práca s textom, pojmové mapy), aktivity pri plnení úloh</w:t>
      </w:r>
    </w:p>
    <w:p w14:paraId="4CE4C2F2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písomné úlohy sú hodnotené známkou, stupnicou: 1 – výborný (100 %–90 %), 2 – chválitebný (89 %–75 %), 3 – dobrý (74 %–50 %), 4 – dostatočný (49 %–25 %), 5 – nedostatočný (24 %–0 %)</w:t>
      </w:r>
    </w:p>
    <w:p w14:paraId="7F17AC21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váha známky: ústna odpoveď, krátke a tematické písomné práce 1,0; aktivita na hodine, diskusia, tvorba a prezentácia projektov, samostatná práca 0,5</w:t>
      </w:r>
    </w:p>
    <w:p w14:paraId="4A33759C" w14:textId="77777777" w:rsidR="0046744D" w:rsidRDefault="00000000">
      <w:pPr>
        <w:spacing w:after="120"/>
      </w:pPr>
      <w:r>
        <w:rPr>
          <w:rFonts w:ascii="Calibri" w:eastAsia="Calibri" w:hAnsi="Calibri" w:cs="Calibri"/>
          <w:b/>
          <w:bCs/>
        </w:rPr>
        <w:t>Projekty – kritériá hodnotenia:</w:t>
      </w:r>
    </w:p>
    <w:p w14:paraId="3333B2D2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Tvorivosť – vlastný prínos (na vysokej úrovni, uplatňuje vlastné nápady, je otvorený novým podnetom, dokáže vyjadriť veku primerané postoje)</w:t>
      </w:r>
    </w:p>
    <w:p w14:paraId="615FF143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Informácie – výber zdrojov (vie vyhľadávať samostatne, vie ich použiť v praxi, pracuje samostatne po návode učiteľa)</w:t>
      </w:r>
    </w:p>
    <w:p w14:paraId="38B7826A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Pojmy a poznatky (ovláda podľa učebných osnov a vie ich využívať)</w:t>
      </w:r>
    </w:p>
    <w:p w14:paraId="7312E5A3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Grafický prejav (estetický, úhľadný, bez väčších nedostatkov)</w:t>
      </w:r>
    </w:p>
    <w:p w14:paraId="370082D8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Logické operácie (pri riešení úloh uplatňuje logiku, funkčne využíva vedomosti a zručnosti, čitateľská gramotnosť je na vysokej úrovni)</w:t>
      </w:r>
    </w:p>
    <w:p w14:paraId="29A87036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Prezentácia (samostatný ústny prejav, správny a výstižný, osvojenú slovnú zásobu dokáže vhodne používať v komunikácii, prezentuje samostatne, vie vzbudiť záujem)</w:t>
      </w:r>
    </w:p>
    <w:p w14:paraId="3DE595FE" w14:textId="77777777" w:rsidR="0046744D" w:rsidRDefault="00000000">
      <w:pPr>
        <w:spacing w:after="120"/>
      </w:pPr>
      <w:r>
        <w:rPr>
          <w:rFonts w:ascii="Calibri" w:eastAsia="Calibri" w:hAnsi="Calibri" w:cs="Calibri"/>
          <w:b/>
          <w:bCs/>
        </w:rPr>
        <w:t>Prezentácie a referáty – kritériá hodnotenia:</w:t>
      </w:r>
    </w:p>
    <w:p w14:paraId="2BB80AF7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odborná úroveň</w:t>
      </w:r>
    </w:p>
    <w:p w14:paraId="4E896977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splnenie stanovených kritérií vyučujúcim</w:t>
      </w:r>
    </w:p>
    <w:p w14:paraId="089FDBDE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kreativita a vlastný prínos</w:t>
      </w:r>
    </w:p>
    <w:p w14:paraId="77C27AC2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pravopis</w:t>
      </w:r>
    </w:p>
    <w:p w14:paraId="7AEC5DA2" w14:textId="77777777" w:rsidR="0046744D" w:rsidRDefault="00000000">
      <w:pPr>
        <w:pStyle w:val="Odsekzoznamu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úroveň prezentovania, práca s IKT</w:t>
      </w:r>
    </w:p>
    <w:p w14:paraId="58D1051D" w14:textId="77777777" w:rsidR="0046744D" w:rsidRDefault="00000000">
      <w:r>
        <w:br w:type="page"/>
      </w:r>
    </w:p>
    <w:p w14:paraId="65BE0DB6" w14:textId="77777777" w:rsidR="0046744D" w:rsidRDefault="00000000">
      <w:pPr>
        <w:pStyle w:val="Nadpis1"/>
        <w:spacing w:before="240" w:after="120"/>
      </w:pPr>
      <w:r>
        <w:rPr>
          <w:rFonts w:ascii="Calibri" w:eastAsia="Calibri" w:hAnsi="Calibri" w:cs="Calibri"/>
          <w:b/>
          <w:bCs/>
        </w:rPr>
        <w:lastRenderedPageBreak/>
        <w:t>Učebné osnovy – 6. ročník</w:t>
      </w:r>
    </w:p>
    <w:p w14:paraId="4720F9B3" w14:textId="77777777" w:rsidR="0046744D" w:rsidRDefault="00000000">
      <w:pPr>
        <w:spacing w:after="120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1 hodina týždenne, cca 33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3000"/>
        <w:gridCol w:w="3000"/>
        <w:gridCol w:w="1866"/>
      </w:tblGrid>
      <w:tr w:rsidR="0046744D" w14:paraId="182EF1F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00" w:type="dxa"/>
            <w:shd w:val="clear" w:color="auto" w:fill="D9D9D9"/>
          </w:tcPr>
          <w:p w14:paraId="57182829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54C98875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5284C8FE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4B1FA5F8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46744D" w14:paraId="494D9E89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5C044BAB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Moja rodina</w:t>
            </w:r>
          </w:p>
          <w:p w14:paraId="2BD7C3E7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8 h</w:t>
            </w:r>
          </w:p>
        </w:tc>
        <w:tc>
          <w:tcPr>
            <w:tcW w:w="3000" w:type="dxa"/>
          </w:tcPr>
          <w:p w14:paraId="0F833429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Rodina, poslanie a funkcie rodiny</w:t>
            </w:r>
          </w:p>
          <w:p w14:paraId="3774C80F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Vzťahy v rodine</w:t>
            </w:r>
          </w:p>
          <w:p w14:paraId="162BC603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Normy a pravidlá</w:t>
            </w:r>
          </w:p>
          <w:p w14:paraId="28581D69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Práva a povinnosti (detí a rodičov)</w:t>
            </w:r>
          </w:p>
          <w:p w14:paraId="576D0116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Medziľudské vzťahy</w:t>
            </w:r>
          </w:p>
          <w:p w14:paraId="0BCF8ED3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Viacgeneračné spolunažívanie</w:t>
            </w:r>
          </w:p>
          <w:p w14:paraId="34A6E25C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Príbuzní, priatelia, susedia</w:t>
            </w:r>
          </w:p>
        </w:tc>
        <w:tc>
          <w:tcPr>
            <w:tcW w:w="3000" w:type="dxa"/>
          </w:tcPr>
          <w:p w14:paraId="0146B59F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určiť typy spoločenstiev, v ktorých žije,</w:t>
            </w:r>
          </w:p>
          <w:p w14:paraId="10B25235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uviesť typy spoločenských rolí, ktoré vo svojom živote zohráva/bude zohrávať,</w:t>
            </w:r>
          </w:p>
          <w:p w14:paraId="24086CA3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vysvetliť pomocou príkladov päť základných funkcií rodiny,</w:t>
            </w:r>
          </w:p>
          <w:p w14:paraId="723C5CBA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charakterizovať základné znaky rodiny,</w:t>
            </w:r>
          </w:p>
          <w:p w14:paraId="10BE33E9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poznávať variabilitu rodín a rôznych životných situácií detí,</w:t>
            </w:r>
          </w:p>
          <w:p w14:paraId="6BDA35E7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uviesť na príkladoch fungovanie pravidiel v rodine,</w:t>
            </w:r>
          </w:p>
          <w:p w14:paraId="2D52CAF7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zostaviť rebríček práv a povinností detí v rodine,</w:t>
            </w:r>
          </w:p>
          <w:p w14:paraId="5C413CDF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navrhnúť zoznam piatich práv a povinností rodičov v rodine,</w:t>
            </w:r>
          </w:p>
          <w:p w14:paraId="4DC91A5E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určiť vzťahy medzi členmi svojej širšej rodiny,</w:t>
            </w:r>
          </w:p>
          <w:p w14:paraId="37055C72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uviesť na príkladoch fungovanie vzťahov medzi príbuznými, priateľmi, susedmi</w:t>
            </w:r>
          </w:p>
          <w:p w14:paraId="63B84226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popísať, ako AI algoritmy (odporúčacie systémy) udržiavajú pozornosť na sociálnych sieťach a navrhnúť pravidlá pre digitálny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wellbeing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 rovnováhu s rodinným životom.</w:t>
            </w:r>
          </w:p>
        </w:tc>
        <w:tc>
          <w:tcPr>
            <w:tcW w:w="1866" w:type="dxa"/>
          </w:tcPr>
          <w:p w14:paraId="2ECEA99C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MDV, ENV, OZO, AIG</w:t>
            </w:r>
          </w:p>
        </w:tc>
      </w:tr>
      <w:tr w:rsidR="0046744D" w14:paraId="5FC45B2D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41C7D7F1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Moja trieda, moja škola</w:t>
            </w:r>
          </w:p>
          <w:p w14:paraId="2AB42127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10 h</w:t>
            </w:r>
          </w:p>
        </w:tc>
        <w:tc>
          <w:tcPr>
            <w:tcW w:w="3000" w:type="dxa"/>
          </w:tcPr>
          <w:p w14:paraId="5B689E85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Školská trieda</w:t>
            </w:r>
          </w:p>
          <w:p w14:paraId="57964DD9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Triedna samospráva Školská samospráva</w:t>
            </w:r>
          </w:p>
          <w:p w14:paraId="3C356F80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Mimo vyučovacia činnosť</w:t>
            </w:r>
          </w:p>
          <w:p w14:paraId="69034A07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Mimoškolská činnosť</w:t>
            </w:r>
          </w:p>
        </w:tc>
        <w:tc>
          <w:tcPr>
            <w:tcW w:w="3000" w:type="dxa"/>
          </w:tcPr>
          <w:p w14:paraId="3E3BE827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vypracovať individuálny návrh práv a povinností žiaka v školskej triede/škole,</w:t>
            </w:r>
          </w:p>
          <w:p w14:paraId="1B45F271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zdôvodniť vybrané práva a povinnosti žiaka zo školského poriadku,</w:t>
            </w:r>
          </w:p>
          <w:p w14:paraId="65729D75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vysvetliť na príkladoch pozitívne a negatívne vzory pre život v triede/v škole,</w:t>
            </w:r>
          </w:p>
          <w:p w14:paraId="790F8B7C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zdôvodniť úlohu a význam fungovania žiackej školskej rady,</w:t>
            </w:r>
          </w:p>
          <w:p w14:paraId="64670928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vytvoriť prehľad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mimovyučovacej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 mimoškolskej činnosti/aktivity v škole, obci a okolí.</w:t>
            </w:r>
          </w:p>
        </w:tc>
        <w:tc>
          <w:tcPr>
            <w:tcW w:w="1866" w:type="dxa"/>
          </w:tcPr>
          <w:p w14:paraId="5FD74023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MUV, MDV, OZO</w:t>
            </w:r>
          </w:p>
        </w:tc>
      </w:tr>
      <w:tr w:rsidR="0046744D" w14:paraId="593B1FA9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0AEAACBC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Moja vlasť</w:t>
            </w:r>
          </w:p>
          <w:p w14:paraId="67F1648A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15 h</w:t>
            </w:r>
          </w:p>
        </w:tc>
        <w:tc>
          <w:tcPr>
            <w:tcW w:w="3000" w:type="dxa"/>
          </w:tcPr>
          <w:p w14:paraId="32AADD79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Občan</w:t>
            </w:r>
          </w:p>
          <w:p w14:paraId="5FFF2E8A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Obec</w:t>
            </w:r>
          </w:p>
          <w:p w14:paraId="5BA95E31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Región</w:t>
            </w:r>
          </w:p>
          <w:p w14:paraId="0B8F5386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Slovenská republika</w:t>
            </w:r>
          </w:p>
          <w:p w14:paraId="1483E75E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Štátne symboly</w:t>
            </w:r>
          </w:p>
          <w:p w14:paraId="234FB0A8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Európska únia</w:t>
            </w:r>
          </w:p>
        </w:tc>
        <w:tc>
          <w:tcPr>
            <w:tcW w:w="3000" w:type="dxa"/>
          </w:tcPr>
          <w:p w14:paraId="4338D6A7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zdôvodniť vlastnými slovami význam občianstva pre človeka,</w:t>
            </w:r>
          </w:p>
          <w:p w14:paraId="768F924A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vytvoriť na základe získaných informácií prezentáciu obce, mesta, regiónu,</w:t>
            </w:r>
          </w:p>
          <w:p w14:paraId="7CEC27FA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predstaviť činnosť vybraných významných osobností obce/regiónu,</w:t>
            </w:r>
          </w:p>
          <w:p w14:paraId="0AC68ED8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prezentovať pozitívne tradície svojho regiónu,</w:t>
            </w:r>
          </w:p>
          <w:p w14:paraId="7E62B308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vysvetliť spôsoby používania štátnych symbolov Slovenskej republiky,</w:t>
            </w:r>
          </w:p>
          <w:p w14:paraId="2B7B2D73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rozlíšiť na príkladoch štátne sviatky, dni pracovného pokoja a pamätné dni v SR,</w:t>
            </w:r>
          </w:p>
          <w:p w14:paraId="2F8B4BDA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prezentovať vyhľadané základné informácie o vzniku, význame a základných inštitúciách EÚ.</w:t>
            </w:r>
          </w:p>
        </w:tc>
        <w:tc>
          <w:tcPr>
            <w:tcW w:w="1866" w:type="dxa"/>
          </w:tcPr>
          <w:p w14:paraId="0DE9B115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OSR, MUV, OZO, ENV, MDV</w:t>
            </w:r>
          </w:p>
        </w:tc>
      </w:tr>
    </w:tbl>
    <w:p w14:paraId="4C3A769A" w14:textId="77777777" w:rsidR="0046744D" w:rsidRDefault="00000000">
      <w:r>
        <w:br w:type="page"/>
      </w:r>
    </w:p>
    <w:p w14:paraId="79E4D479" w14:textId="77777777" w:rsidR="0046744D" w:rsidRDefault="00000000">
      <w:pPr>
        <w:pStyle w:val="Nadpis1"/>
        <w:spacing w:before="240" w:after="120"/>
      </w:pPr>
      <w:r>
        <w:rPr>
          <w:rFonts w:ascii="Calibri" w:eastAsia="Calibri" w:hAnsi="Calibri" w:cs="Calibri"/>
          <w:b/>
          <w:bCs/>
        </w:rPr>
        <w:lastRenderedPageBreak/>
        <w:t>Učebné osnovy – 7. ročník</w:t>
      </w:r>
    </w:p>
    <w:p w14:paraId="5AB820B0" w14:textId="77777777" w:rsidR="0046744D" w:rsidRDefault="00000000">
      <w:pPr>
        <w:spacing w:after="120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1 hodina týždenne, cca 33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3000"/>
        <w:gridCol w:w="3000"/>
        <w:gridCol w:w="1866"/>
      </w:tblGrid>
      <w:tr w:rsidR="0046744D" w14:paraId="56D3FF8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00" w:type="dxa"/>
            <w:shd w:val="clear" w:color="auto" w:fill="D9D9D9"/>
          </w:tcPr>
          <w:p w14:paraId="64CAEE28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581F55C9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452AF761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1C612BA4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46744D" w14:paraId="0E8F1DAB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1DFECCCA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Postavenie jednotlivca v spoločnosti</w:t>
            </w:r>
          </w:p>
          <w:p w14:paraId="530326B1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18 h</w:t>
            </w:r>
          </w:p>
        </w:tc>
        <w:tc>
          <w:tcPr>
            <w:tcW w:w="3000" w:type="dxa"/>
          </w:tcPr>
          <w:p w14:paraId="3AF02ED1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Osobnosť človeka</w:t>
            </w:r>
          </w:p>
          <w:p w14:paraId="2B40CB96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Typy osobnosti</w:t>
            </w:r>
          </w:p>
          <w:p w14:paraId="6FCF1427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Schopnosti osobnosti</w:t>
            </w:r>
          </w:p>
          <w:p w14:paraId="76451420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Učenie</w:t>
            </w:r>
          </w:p>
          <w:p w14:paraId="5322087C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Psychické procesy</w:t>
            </w:r>
          </w:p>
          <w:p w14:paraId="5BAC566F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Psychické procesy - pamäť a myslenie</w:t>
            </w:r>
          </w:p>
          <w:p w14:paraId="7D7CD4E9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Učíme sa učiť</w:t>
            </w:r>
          </w:p>
          <w:p w14:paraId="3900E0C3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Štýly učenia</w:t>
            </w:r>
          </w:p>
          <w:p w14:paraId="71BB64E4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Sociálne skupiny</w:t>
            </w:r>
          </w:p>
          <w:p w14:paraId="3D1A66AE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Spoločenské (sociálne) skupiny</w:t>
            </w:r>
          </w:p>
          <w:p w14:paraId="38E1F1C2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Socializácia jednotlivca</w:t>
            </w:r>
          </w:p>
          <w:p w14:paraId="4F04836E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Sociálne vzťahy</w:t>
            </w:r>
          </w:p>
          <w:p w14:paraId="7B32F8A3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Sociálne vzťahy v skupinách</w:t>
            </w:r>
          </w:p>
          <w:p w14:paraId="6D7971B5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Pozície, roly jednotlivca v sociálnej skupine</w:t>
            </w:r>
          </w:p>
          <w:p w14:paraId="670C2D8E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Sociálna komunikácia</w:t>
            </w:r>
          </w:p>
          <w:p w14:paraId="593C83B7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Komunikácia v sociálnych skupinách</w:t>
            </w:r>
          </w:p>
          <w:p w14:paraId="0195E93D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Spolupráca a súťaženie v sociálnej skupine</w:t>
            </w:r>
          </w:p>
          <w:p w14:paraId="6F216FE5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Konflikty v sociálnych skupinách a ich riešenia</w:t>
            </w:r>
          </w:p>
          <w:p w14:paraId="70CEA0DF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Zdravý životný štýl</w:t>
            </w:r>
          </w:p>
          <w:p w14:paraId="41FE79FB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Zdravý spôsob života</w:t>
            </w:r>
          </w:p>
          <w:p w14:paraId="5A9A6C79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Zdravý štýl života v rodine</w:t>
            </w:r>
          </w:p>
        </w:tc>
        <w:tc>
          <w:tcPr>
            <w:tcW w:w="3000" w:type="dxa"/>
          </w:tcPr>
          <w:p w14:paraId="71403313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pomenovať znaky osobnosti, jej vývin</w:t>
            </w:r>
          </w:p>
          <w:p w14:paraId="46F446EE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simulovať v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rolových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hrách základné typy osobnosti podľa temperamentu</w:t>
            </w:r>
          </w:p>
          <w:p w14:paraId="2451E903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rozpoznať prejavy kladných a záporných charakterových vlastností konkrétneho človeka,</w:t>
            </w:r>
          </w:p>
          <w:p w14:paraId="7564D5AE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vymenovať psychické procesy</w:t>
            </w:r>
          </w:p>
          <w:p w14:paraId="386659E4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vysvetliť význam učenia a kladenie si cieľov</w:t>
            </w:r>
          </w:p>
          <w:p w14:paraId="49934609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vymenovať rôzne spôsoby učenia sa a hľadá to najvhodnejšie učenie pre seba</w:t>
            </w:r>
          </w:p>
          <w:p w14:paraId="31F2A8AD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porovnať rôzne spôsoby učenia sa</w:t>
            </w:r>
          </w:p>
          <w:p w14:paraId="453DD3C8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znaky spoločenských skupín, ich vznik a fungovanie</w:t>
            </w:r>
          </w:p>
          <w:p w14:paraId="6FF27ED0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definovať čo je socializácia</w:t>
            </w:r>
          </w:p>
          <w:p w14:paraId="44F7E5A0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uvedomiť si vytváranie sociálnych vzťahov v skupinách, kde je členom</w:t>
            </w:r>
          </w:p>
          <w:p w14:paraId="753112E6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rozpoznať pozície a roly jednotlivcov v sociálnych skupinách</w:t>
            </w:r>
          </w:p>
          <w:p w14:paraId="76AEF158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vedieť efektívne odovzdať a prijať informáciu</w:t>
            </w:r>
          </w:p>
          <w:p w14:paraId="306DBD79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zhodnotiť prínos spolupráce a súťaženia v sociálnej skupine</w:t>
            </w:r>
          </w:p>
          <w:p w14:paraId="7D0A9236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zhodnotiť prínos spolupráce a súťaženia v skupine, vedieť popísať etapy konfliktu a jeho následky</w:t>
            </w:r>
          </w:p>
          <w:p w14:paraId="199817DB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identifikovať jednotlivé životné štýly</w:t>
            </w:r>
          </w:p>
          <w:p w14:paraId="7AD7F84F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zdôvodniť svoj výber vhodných a nevhodných spôsobov trávenia voľného času</w:t>
            </w:r>
          </w:p>
        </w:tc>
        <w:tc>
          <w:tcPr>
            <w:tcW w:w="1866" w:type="dxa"/>
          </w:tcPr>
          <w:p w14:paraId="4A5DE10A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</w:t>
            </w:r>
          </w:p>
        </w:tc>
      </w:tr>
      <w:tr w:rsidR="0046744D" w14:paraId="100CE99A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2371E537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Sociálne vzťahy v spoločnosti</w:t>
            </w:r>
          </w:p>
          <w:p w14:paraId="63733C61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15 h</w:t>
            </w:r>
          </w:p>
        </w:tc>
        <w:tc>
          <w:tcPr>
            <w:tcW w:w="3000" w:type="dxa"/>
          </w:tcPr>
          <w:p w14:paraId="56E0476E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Spoločnosť</w:t>
            </w:r>
          </w:p>
          <w:p w14:paraId="752119E7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Vznik, vývoj a charakteristika ľudskej spoločnosti</w:t>
            </w:r>
          </w:p>
          <w:p w14:paraId="11EBB60C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Štruktúra ľudskej spoločnosti</w:t>
            </w:r>
          </w:p>
          <w:p w14:paraId="1AB3990B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Veľké spoločenské skupiny a rozvrstvenie ľudskej spoločnosti</w:t>
            </w:r>
          </w:p>
          <w:p w14:paraId="7702F4B0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Štruktúra ľudskej spoločnosti  - rasy, národy, etniká</w:t>
            </w:r>
          </w:p>
          <w:p w14:paraId="4771FEE5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Náboženská štruktúra ľudskej spoločnosti</w:t>
            </w:r>
          </w:p>
          <w:p w14:paraId="7B4C73E0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Sociálne zmeny v spoločnosti</w:t>
            </w:r>
          </w:p>
          <w:p w14:paraId="3F064CAA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Sociálne zmeny v spoločnosti a ich zdroje</w:t>
            </w:r>
          </w:p>
          <w:p w14:paraId="6FB7EBFF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Sociálne a politické napätia – konflikty, vojny, extrémizmus</w:t>
            </w:r>
          </w:p>
          <w:p w14:paraId="7DE59875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Sociálne a politické konflikty - vojny, terorizmus</w:t>
            </w:r>
          </w:p>
          <w:p w14:paraId="6C16C666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Sociálne problémy - extrémizmus, šikanovanie, vandalizmus</w:t>
            </w:r>
          </w:p>
          <w:p w14:paraId="40C627AC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Tolerancia</w:t>
            </w:r>
          </w:p>
          <w:p w14:paraId="0CECCBA0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Kultúra,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multikultúrnosť</w:t>
            </w:r>
            <w:proofErr w:type="spellEnd"/>
          </w:p>
          <w:p w14:paraId="734C804E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Dobrovoľníctvo</w:t>
            </w:r>
          </w:p>
          <w:p w14:paraId="58E31F9A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Dobrovoľnícka činnosť</w:t>
            </w:r>
          </w:p>
          <w:p w14:paraId="1C404D1C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Charitatívna činnosť</w:t>
            </w:r>
          </w:p>
          <w:p w14:paraId="69DAEFCE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Charitatívne projekty</w:t>
            </w:r>
          </w:p>
          <w:p w14:paraId="0F2E9A5D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AI - Masmédiá, dezinformácie a fenomén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Deepfakes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vytvorený generatívnou AI.</w:t>
            </w:r>
          </w:p>
        </w:tc>
        <w:tc>
          <w:tcPr>
            <w:tcW w:w="3000" w:type="dxa"/>
          </w:tcPr>
          <w:p w14:paraId="09E4A42D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vedieť pomenovať znaky ľudskej spoločnosti</w:t>
            </w:r>
          </w:p>
          <w:p w14:paraId="237B0347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analyzovať štruktúru spoločnosti podľa veku, pohlavia, náboženstva, vzdelania, národnosti</w:t>
            </w:r>
          </w:p>
          <w:p w14:paraId="413985B9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poznať rôzne spoločenské vrstvy, sociálnu nerovnosť</w:t>
            </w:r>
          </w:p>
          <w:p w14:paraId="56CBD642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orientovať sa v národnom a etnickom zložení obyvateľstva</w:t>
            </w:r>
          </w:p>
          <w:p w14:paraId="64E789D3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poznať náboženskú rozmanitosť</w:t>
            </w:r>
          </w:p>
          <w:p w14:paraId="219F5A6A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určiť hlavné príčiny sociálnych zmien v spoločnosti a ich dôsledky</w:t>
            </w:r>
          </w:p>
          <w:p w14:paraId="795C6A86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vysvetliť príčiny rôznych konfliktov v spoločnosti</w:t>
            </w:r>
          </w:p>
          <w:p w14:paraId="696F8499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rozpoznať prejavy šikanovania, extrémizmu, vandalizmu</w:t>
            </w:r>
          </w:p>
          <w:p w14:paraId="763ECD67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vedieť uviesť príklady rôznych kultúr</w:t>
            </w:r>
          </w:p>
          <w:p w14:paraId="625AD0DE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uviesť príklady rozmanitosti kultúr v Slovenskej republike</w:t>
            </w:r>
          </w:p>
          <w:p w14:paraId="510BB694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pochopiť prácu v dobrovoľníckej a charitatívnej činnosti</w:t>
            </w:r>
          </w:p>
          <w:p w14:paraId="4968351D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navrhnúť konkrétne formy pomoci pre zdravotne postihnutých a starých ľudí v okolí</w:t>
            </w:r>
          </w:p>
          <w:p w14:paraId="3DCA8236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vysvetliť pojem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deepfake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, kriticky vyhodnocovať dôveryhodnosť mediálneho obsahu generovaného AI a predchádzať manipulácii verejnej mienky.</w:t>
            </w:r>
          </w:p>
        </w:tc>
        <w:tc>
          <w:tcPr>
            <w:tcW w:w="1866" w:type="dxa"/>
          </w:tcPr>
          <w:p w14:paraId="1CF221F1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ENV MUV OSR, OZO AIG</w:t>
            </w:r>
          </w:p>
        </w:tc>
      </w:tr>
    </w:tbl>
    <w:p w14:paraId="5A6A849F" w14:textId="77777777" w:rsidR="0046744D" w:rsidRDefault="00000000">
      <w:r>
        <w:br w:type="page"/>
      </w:r>
    </w:p>
    <w:p w14:paraId="436EB322" w14:textId="77777777" w:rsidR="0046744D" w:rsidRDefault="00000000">
      <w:pPr>
        <w:pStyle w:val="Nadpis1"/>
        <w:spacing w:before="240" w:after="120"/>
      </w:pPr>
      <w:r>
        <w:rPr>
          <w:rFonts w:ascii="Calibri" w:eastAsia="Calibri" w:hAnsi="Calibri" w:cs="Calibri"/>
          <w:b/>
          <w:bCs/>
        </w:rPr>
        <w:lastRenderedPageBreak/>
        <w:t>Učebné osnovy – 8. ročník</w:t>
      </w:r>
    </w:p>
    <w:p w14:paraId="08DB045C" w14:textId="77777777" w:rsidR="0046744D" w:rsidRDefault="00000000">
      <w:pPr>
        <w:spacing w:after="120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1 hodina týždenne, cca 33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3000"/>
        <w:gridCol w:w="3000"/>
        <w:gridCol w:w="1866"/>
      </w:tblGrid>
      <w:tr w:rsidR="0046744D" w14:paraId="52E7AB6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00" w:type="dxa"/>
            <w:shd w:val="clear" w:color="auto" w:fill="D9D9D9"/>
          </w:tcPr>
          <w:p w14:paraId="5542EB34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0346030F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2FF00FC5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2799D0B0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46744D" w14:paraId="60470CDB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1CA87D58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Štát a právo</w:t>
            </w:r>
          </w:p>
          <w:p w14:paraId="06DD5F68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21 h</w:t>
            </w:r>
          </w:p>
        </w:tc>
        <w:tc>
          <w:tcPr>
            <w:tcW w:w="3000" w:type="dxa"/>
          </w:tcPr>
          <w:p w14:paraId="75A1C25D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Ústava Slovenskej republiky</w:t>
            </w:r>
          </w:p>
          <w:p w14:paraId="59AA62B8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Štát, vznik štátu, jeho znaky a funkcie</w:t>
            </w:r>
          </w:p>
          <w:p w14:paraId="789A0D46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Forma vlády</w:t>
            </w:r>
          </w:p>
          <w:p w14:paraId="48FC2DDD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Demokracia</w:t>
            </w:r>
          </w:p>
          <w:p w14:paraId="0D7865CF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Voľby</w:t>
            </w:r>
          </w:p>
          <w:p w14:paraId="5EE6669A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Deľba/zložky štátnej moci</w:t>
            </w:r>
          </w:p>
          <w:p w14:paraId="47FB08D2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Zákonodarná moc</w:t>
            </w:r>
          </w:p>
          <w:p w14:paraId="048E4931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Právo, právne normy</w:t>
            </w:r>
          </w:p>
          <w:p w14:paraId="619A9BAA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Vzťah štátu a práva – právne vedomie</w:t>
            </w:r>
          </w:p>
          <w:p w14:paraId="0352B1D0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Právny poriadok (systém) SR</w:t>
            </w:r>
          </w:p>
          <w:p w14:paraId="167C1F01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Odvetvia práva – verejné a súkromné právo</w:t>
            </w:r>
          </w:p>
          <w:p w14:paraId="32BE23D0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Občianske právo</w:t>
            </w:r>
          </w:p>
          <w:p w14:paraId="4370A0C1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Právna spôsobilosť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Spôsobilosť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na právne úkony</w:t>
            </w:r>
          </w:p>
          <w:p w14:paraId="52D3DCCF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Občianske právo – ochrana spotrebiteľov</w:t>
            </w:r>
          </w:p>
          <w:p w14:paraId="24CAE318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Rodinné právo</w:t>
            </w:r>
          </w:p>
          <w:p w14:paraId="1676C6CB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Trestná zodpovednosť / Trestné právo</w:t>
            </w:r>
          </w:p>
          <w:p w14:paraId="65B520A0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Prezumpcia neviny</w:t>
            </w:r>
          </w:p>
          <w:p w14:paraId="70B193E1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Právne inštitúcie slovenskej republiky</w:t>
            </w:r>
          </w:p>
          <w:p w14:paraId="6783254F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AI - Etické a právne aspekty AI: autorské práva, ochrana osobných údajov a súkromia pri práci s AI systémami.</w:t>
            </w:r>
          </w:p>
        </w:tc>
        <w:tc>
          <w:tcPr>
            <w:tcW w:w="3000" w:type="dxa"/>
          </w:tcPr>
          <w:p w14:paraId="2D3B2A3B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analyzovať články Ústavy SR, týkajúce sa znakov štátu a štátnej moci</w:t>
            </w:r>
          </w:p>
          <w:p w14:paraId="51CFEDCD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zhodnotiť význam Ústavy SR pre občana</w:t>
            </w:r>
          </w:p>
          <w:p w14:paraId="30E2BF8B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vysvetliť príčiny vzniku štátu, charakteristické znaky štátu</w:t>
            </w:r>
          </w:p>
          <w:p w14:paraId="05DB0AD2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vysvetliť na príkladoch vybraných štátov funkcie štátu</w:t>
            </w:r>
          </w:p>
          <w:p w14:paraId="3F3ACD2A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uviesť príklady na funkcie štátu, vzťahy SR so susednými štátmi</w:t>
            </w:r>
          </w:p>
          <w:p w14:paraId="4DDDAAE9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porovnať na príkladoch vybraných štátov rôzne formy vlády</w:t>
            </w:r>
          </w:p>
          <w:p w14:paraId="4BF280A4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vedieť rozlíšiť absolutistickú a parlamentnú monarchiu</w:t>
            </w:r>
          </w:p>
          <w:p w14:paraId="313DDECF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uviesť konkrétne príklady na demokratickú a nedemokratickú formu republiky</w:t>
            </w:r>
          </w:p>
          <w:p w14:paraId="2D996CC3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uviesť príklady na typy diktatúr</w:t>
            </w:r>
          </w:p>
          <w:p w14:paraId="71EE4C34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vystihnúť rozdiely medzi priamou a nepriamou demokraciou</w:t>
            </w:r>
          </w:p>
          <w:p w14:paraId="5DEE5F26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rozlíšiť parlamentné, prezidentské a komunálne voľby</w:t>
            </w:r>
          </w:p>
          <w:p w14:paraId="1CC5232D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zdôvodniť potrebu deľby štátnej moci</w:t>
            </w:r>
          </w:p>
          <w:p w14:paraId="51E33E2D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vysvetliť príčiny rozdelenia štátnej moci na jednotlivé zložky</w:t>
            </w:r>
          </w:p>
          <w:p w14:paraId="15D53378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popísať priebeh plenárneho zasadnutia parlamentu NR SR, vie sa orientovať v Ústave SR</w:t>
            </w:r>
          </w:p>
          <w:p w14:paraId="2F244462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charakterizovať jednotlivé druhy noriem a porovnať ich</w:t>
            </w:r>
          </w:p>
          <w:p w14:paraId="1D602983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vytvoriť hierarchiu právnych predpisov</w:t>
            </w:r>
          </w:p>
          <w:p w14:paraId="0D254C20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definovať pojem právo, rozdiel medzi právom a spravodlivosťou</w:t>
            </w:r>
          </w:p>
          <w:p w14:paraId="6AE630AE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definovať právne predpisy, pojmy právneho systému SR</w:t>
            </w:r>
          </w:p>
          <w:p w14:paraId="1BE660E0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opísať dve vybrané odvetvia verejného práva, opíše tri vybrané odvetvia súkromného práva</w:t>
            </w:r>
          </w:p>
          <w:p w14:paraId="701F26F2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vysvetliť čím sa zaoberá občianske právo, vie definovať a porovnať spôsobilosť na práva</w:t>
            </w:r>
          </w:p>
          <w:p w14:paraId="76260D3E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definovať uvedené pojmy, vie kam sa má právo obrátiť o </w:t>
            </w: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pomoc a informácie, vie popísať podmienky reklamácie</w:t>
            </w:r>
          </w:p>
          <w:p w14:paraId="2CD70321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vysvetliť poslanie Zákona o rodine a jeho úlohy,</w:t>
            </w:r>
          </w:p>
          <w:p w14:paraId="4F9FC95A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popísať podmienky uzavretia manželstva,</w:t>
            </w:r>
          </w:p>
          <w:p w14:paraId="3FFC5CA9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popísať úlohu rodiny v štáte, jej fungovanie, na základe príkladov z literatúry alebo filmov,</w:t>
            </w:r>
          </w:p>
          <w:p w14:paraId="4F7B8680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vysvetliť dopad ukončenia manželstva rozvodom na členov rodiny</w:t>
            </w:r>
          </w:p>
          <w:p w14:paraId="50E3C4CD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rozpoznať na príkladoch znaky protiprávneho konania</w:t>
            </w:r>
          </w:p>
          <w:p w14:paraId="4D01C051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vysvetliť všetky uvedené pojmy</w:t>
            </w:r>
          </w:p>
          <w:p w14:paraId="573BC714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aktívne participovať pojmy na príprave a priebehu inscenácie týkajúcej sa trestného činu na vyučovacej hodine</w:t>
            </w:r>
          </w:p>
          <w:p w14:paraId="2B513A6F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zdôvodniť dodržiavanie zákonov</w:t>
            </w:r>
          </w:p>
          <w:p w14:paraId="663B8AF0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na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kokrétnych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príkladoch zdôvodniť potrebu dodržiavania zákonov SR</w:t>
            </w:r>
          </w:p>
          <w:p w14:paraId="154E187E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popísať funkcie jednotlivých právnych inštitúcií SR</w:t>
            </w:r>
          </w:p>
          <w:p w14:paraId="700E648D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aktívne sa podieľať na príprave a priebehu súdneho pojednávania na vyučovacej hodine , vie rozlíšiť služby advokáta a notára</w:t>
            </w:r>
          </w:p>
          <w:p w14:paraId="733459B3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definovať riziká narušenia súkromia pri vkladaní citlivých dát do AI modelov a preukázať rešpekt voči duševnému vlastníctvu a autorským právam v súvislosti s generovaným obsahom.</w:t>
            </w:r>
          </w:p>
        </w:tc>
        <w:tc>
          <w:tcPr>
            <w:tcW w:w="1866" w:type="dxa"/>
          </w:tcPr>
          <w:p w14:paraId="3A621832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MUV MDV OSR, OZO AIG</w:t>
            </w:r>
          </w:p>
        </w:tc>
      </w:tr>
      <w:tr w:rsidR="0046744D" w14:paraId="217531DD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20C50D78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Ľudské práva a slobody</w:t>
            </w:r>
          </w:p>
          <w:p w14:paraId="42A27B40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12 h</w:t>
            </w:r>
          </w:p>
        </w:tc>
        <w:tc>
          <w:tcPr>
            <w:tcW w:w="3000" w:type="dxa"/>
          </w:tcPr>
          <w:p w14:paraId="6E5F2B1A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Základné ľudské práva a slobody/Niet práv bez povinností a zodpovednosti</w:t>
            </w:r>
          </w:p>
          <w:p w14:paraId="54057104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Základné dokumenty o ľudských právach</w:t>
            </w:r>
          </w:p>
          <w:p w14:paraId="6FCD87EF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Práva dieťaťa / Dohovor o právach dieťaťa</w:t>
            </w:r>
          </w:p>
          <w:p w14:paraId="3AE4C1BA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Rovnaký prístup ku všetkým deťom Diskriminácia Predsudky</w:t>
            </w:r>
          </w:p>
          <w:p w14:paraId="74E8D79B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Právo na názor a informácie</w:t>
            </w:r>
          </w:p>
          <w:p w14:paraId="23A449C0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Právo na život</w:t>
            </w:r>
          </w:p>
          <w:p w14:paraId="70AE08B7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Právo na zdravie</w:t>
            </w:r>
          </w:p>
          <w:p w14:paraId="5F9136A3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Právo na vzdelanie a hru</w:t>
            </w:r>
          </w:p>
          <w:p w14:paraId="60E9E341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Práva menšín – menšiny a ich ochrana</w:t>
            </w:r>
          </w:p>
        </w:tc>
        <w:tc>
          <w:tcPr>
            <w:tcW w:w="3000" w:type="dxa"/>
          </w:tcPr>
          <w:p w14:paraId="07C01EDE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definovať vlastnosti ľudských práv</w:t>
            </w:r>
          </w:p>
          <w:p w14:paraId="706CCD7D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chápe spätosť práv a povinností</w:t>
            </w:r>
          </w:p>
          <w:p w14:paraId="19142003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uplatňuje zodpovednosť voči právam ostatných v bežnom živote</w:t>
            </w:r>
          </w:p>
          <w:p w14:paraId="341CC046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pozná základné dokumenty ľudských práv</w:t>
            </w:r>
          </w:p>
          <w:p w14:paraId="4E090536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pozná inštitúcie ochraňujúce ľudské práva</w:t>
            </w:r>
          </w:p>
          <w:p w14:paraId="4B19C2E8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orientovať sa v texte Druhej hlave Ústavy SR a Dohovoru o právach dieťaťa</w:t>
            </w:r>
          </w:p>
          <w:p w14:paraId="36571367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posúdiť situácie kedy sú práva detí porušované,</w:t>
            </w:r>
          </w:p>
          <w:p w14:paraId="45901715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definovať na ktoré inštitúcie sa môže obrátiť pri porušovaní svojich práv</w:t>
            </w:r>
          </w:p>
          <w:p w14:paraId="43D2511A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vysvetliť uvedené pojmy</w:t>
            </w:r>
          </w:p>
          <w:p w14:paraId="767E2F6E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vie ako čeliť diskriminácii, vie vysvetliť pojem daného práva, chápe a uvedomuje si svoje práva a ich akceptáciu v demokratických krajinách</w:t>
            </w:r>
          </w:p>
          <w:p w14:paraId="61EE78C2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identifikovať rodové stereotypy v okolí a médiách</w:t>
            </w:r>
          </w:p>
          <w:p w14:paraId="149B969A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prezentovať výsledky samostatne nájdených príkladov najčastejšieho porušovania práv dieťaťa v rodine, škole, na Slovensku, vo svete</w:t>
            </w:r>
          </w:p>
          <w:p w14:paraId="2FED498B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rozpoznať v konkrétnych situáciách prejavy diskriminácie</w:t>
            </w:r>
          </w:p>
          <w:p w14:paraId="3D2B2ACB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vymenovať základné ľudské práva a slobody,    žiak vie vyhľadať v Ústave SR a v dokumentoch o ľudských právach  jednotlivé skupiny práv</w:t>
            </w:r>
          </w:p>
        </w:tc>
        <w:tc>
          <w:tcPr>
            <w:tcW w:w="1866" w:type="dxa"/>
          </w:tcPr>
          <w:p w14:paraId="3C158AA8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ENV OSR MUV OZO</w:t>
            </w:r>
          </w:p>
        </w:tc>
      </w:tr>
    </w:tbl>
    <w:p w14:paraId="2806B52B" w14:textId="77777777" w:rsidR="0046744D" w:rsidRDefault="00000000">
      <w:r>
        <w:br w:type="page"/>
      </w:r>
    </w:p>
    <w:p w14:paraId="2460E9D8" w14:textId="77777777" w:rsidR="0046744D" w:rsidRDefault="00000000">
      <w:pPr>
        <w:pStyle w:val="Nadpis1"/>
        <w:spacing w:before="240" w:after="120"/>
      </w:pPr>
      <w:r>
        <w:rPr>
          <w:rFonts w:ascii="Calibri" w:eastAsia="Calibri" w:hAnsi="Calibri" w:cs="Calibri"/>
          <w:b/>
          <w:bCs/>
        </w:rPr>
        <w:lastRenderedPageBreak/>
        <w:t>Učebné osnovy – 9. ročník</w:t>
      </w:r>
    </w:p>
    <w:p w14:paraId="34F7D84A" w14:textId="77777777" w:rsidR="0046744D" w:rsidRDefault="00000000">
      <w:pPr>
        <w:spacing w:after="120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1 hodina týždenne, cca 33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3000"/>
        <w:gridCol w:w="3000"/>
        <w:gridCol w:w="1866"/>
      </w:tblGrid>
      <w:tr w:rsidR="0046744D" w14:paraId="7548586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00" w:type="dxa"/>
            <w:shd w:val="clear" w:color="auto" w:fill="D9D9D9"/>
          </w:tcPr>
          <w:p w14:paraId="23315A0A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3757EC3A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430E488F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16026779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46744D" w14:paraId="488C6480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73748A9C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Voľba povolania</w:t>
            </w:r>
          </w:p>
          <w:p w14:paraId="58F67430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7 h</w:t>
            </w:r>
          </w:p>
        </w:tc>
        <w:tc>
          <w:tcPr>
            <w:tcW w:w="3000" w:type="dxa"/>
          </w:tcPr>
          <w:p w14:paraId="01D43679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Vzdelanie ako hodnota</w:t>
            </w:r>
          </w:p>
          <w:p w14:paraId="453A7C0D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Voľba povolania</w:t>
            </w:r>
          </w:p>
          <w:p w14:paraId="6FB5CC20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Spôsobilosť na povolanie</w:t>
            </w:r>
          </w:p>
          <w:p w14:paraId="2C64CA75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Profesijná orientácia</w:t>
            </w:r>
          </w:p>
          <w:p w14:paraId="31B7B476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AI - Transformácia trhu práce pod vplyvom umelej inteligencie a automatizácie.</w:t>
            </w:r>
          </w:p>
        </w:tc>
        <w:tc>
          <w:tcPr>
            <w:tcW w:w="3000" w:type="dxa"/>
          </w:tcPr>
          <w:p w14:paraId="6F92D10E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zdôvodniť opodstatnenosť vzdelania a vzdelávania ako hodnoty</w:t>
            </w:r>
          </w:p>
          <w:p w14:paraId="6E6AFD25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vytvoriť schému školského systému SR</w:t>
            </w:r>
          </w:p>
          <w:p w14:paraId="197E6669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orientovať sa pri výbere povolania v rôznych zdrojoch informácií</w:t>
            </w:r>
          </w:p>
          <w:p w14:paraId="212B8843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prezentovať plán budovania svojej kariéry</w:t>
            </w:r>
          </w:p>
          <w:p w14:paraId="1E173C12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diskutovať o dopadoch AI na budúce profesie, analyzovať zanikajúce a novovznikajúce pracovné miesta a identifikovať kľúčové ľudské zručnosti (empatia, morálne rozhodovanie), ktoré technológia nedokáže nahradiť.</w:t>
            </w:r>
          </w:p>
        </w:tc>
        <w:tc>
          <w:tcPr>
            <w:tcW w:w="1866" w:type="dxa"/>
          </w:tcPr>
          <w:p w14:paraId="7C684E2F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MDV, MUV, OZO, AIG</w:t>
            </w:r>
          </w:p>
        </w:tc>
      </w:tr>
      <w:tr w:rsidR="0046744D" w14:paraId="2D33A8AC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4CF84D0E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Ekonomický život v spoločnosti</w:t>
            </w:r>
          </w:p>
          <w:p w14:paraId="6CB0E1A8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15 h</w:t>
            </w:r>
          </w:p>
        </w:tc>
        <w:tc>
          <w:tcPr>
            <w:tcW w:w="3000" w:type="dxa"/>
          </w:tcPr>
          <w:p w14:paraId="58CDE67C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Ekonómia a ekonomika</w:t>
            </w:r>
          </w:p>
          <w:p w14:paraId="6E101802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Základné ekonomické otázky</w:t>
            </w:r>
          </w:p>
          <w:p w14:paraId="7A75F351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Typy ekonomík</w:t>
            </w:r>
          </w:p>
          <w:p w14:paraId="1A046E87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Trh</w:t>
            </w:r>
          </w:p>
          <w:p w14:paraId="3710ED83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Trhový mechanizmus</w:t>
            </w:r>
          </w:p>
          <w:p w14:paraId="1F748479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Základné formy podnikania</w:t>
            </w:r>
          </w:p>
          <w:p w14:paraId="540ACD2E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Spotreba</w:t>
            </w:r>
          </w:p>
          <w:p w14:paraId="3D6E3288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Spotrebiteľ</w:t>
            </w:r>
          </w:p>
          <w:p w14:paraId="4795568F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Ochrana spotrebiteľa</w:t>
            </w:r>
          </w:p>
        </w:tc>
        <w:tc>
          <w:tcPr>
            <w:tcW w:w="3000" w:type="dxa"/>
          </w:tcPr>
          <w:p w14:paraId="47268CE8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rozlíšiť pojmy ekonómia a ekonomika</w:t>
            </w:r>
          </w:p>
          <w:p w14:paraId="2CF87BC5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konkretizovať na príkladoch spôsoby riešenie troch základných ekonomických otázok</w:t>
            </w:r>
          </w:p>
          <w:p w14:paraId="53B10616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uviesť základné rozdiely medzi trhovou, príkazovou a zmiešanou ekonomikou</w:t>
            </w:r>
          </w:p>
          <w:p w14:paraId="49436BCF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demonštrovať vzťahy medzi kupujúcimi a predávajúcimi na trhu</w:t>
            </w:r>
          </w:p>
          <w:p w14:paraId="3A8BBAAB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na praktických príkladoch vysvetliť vzájomný vzťah medzi ponukou, dopytom a cenou tovaru a služieb</w:t>
            </w:r>
          </w:p>
          <w:p w14:paraId="1D84FD20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simulovať postup pri reklamácií tovarov alebo služieb</w:t>
            </w:r>
          </w:p>
        </w:tc>
        <w:tc>
          <w:tcPr>
            <w:tcW w:w="1866" w:type="dxa"/>
          </w:tcPr>
          <w:p w14:paraId="11EF87A6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ENV, MDV, OZO</w:t>
            </w:r>
          </w:p>
        </w:tc>
      </w:tr>
      <w:tr w:rsidR="0046744D" w14:paraId="1730CC4B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31DA9F42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Finančná gramotnosť</w:t>
            </w:r>
          </w:p>
          <w:p w14:paraId="2B1C7979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12 h</w:t>
            </w:r>
          </w:p>
        </w:tc>
        <w:tc>
          <w:tcPr>
            <w:tcW w:w="3000" w:type="dxa"/>
          </w:tcPr>
          <w:p w14:paraId="7E6CF045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Peniaze a funkcie peňazí</w:t>
            </w:r>
          </w:p>
          <w:p w14:paraId="344A74B0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Rozpočet</w:t>
            </w:r>
          </w:p>
          <w:p w14:paraId="276B53E3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Finančné inštitúcie</w:t>
            </w:r>
          </w:p>
        </w:tc>
        <w:tc>
          <w:tcPr>
            <w:tcW w:w="3000" w:type="dxa"/>
          </w:tcPr>
          <w:p w14:paraId="5B7DFE09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Rozumieť základným pojmom</w:t>
            </w:r>
          </w:p>
          <w:p w14:paraId="0B877F8E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zostaviť modelový osobný/rodinný rozpočet</w:t>
            </w:r>
          </w:p>
          <w:p w14:paraId="68352DB8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ilustrovať na príklade vybraný problém z oblasti finančnej gramotnosti</w:t>
            </w:r>
          </w:p>
          <w:p w14:paraId="5B27E274" w14:textId="77777777" w:rsidR="0046744D" w:rsidRDefault="00000000">
            <w:pPr>
              <w:pStyle w:val="Odsekzoznamu"/>
              <w:numPr>
                <w:ilvl w:val="0"/>
                <w:numId w:val="1"/>
              </w:numPr>
              <w:spacing w:after="3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zhodnotiť mieru rizika pri využití služieb bankových a nebankových inštitúcií</w:t>
            </w:r>
          </w:p>
        </w:tc>
        <w:tc>
          <w:tcPr>
            <w:tcW w:w="1866" w:type="dxa"/>
          </w:tcPr>
          <w:p w14:paraId="24276A96" w14:textId="77777777" w:rsidR="0046744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MUV, OZO, ENV, MDV</w:t>
            </w:r>
          </w:p>
        </w:tc>
      </w:tr>
    </w:tbl>
    <w:p w14:paraId="461A1DE1" w14:textId="77777777" w:rsidR="00325A4C" w:rsidRDefault="00325A4C"/>
    <w:sectPr w:rsidR="00325A4C">
      <w:pgSz w:w="11906" w:h="16838"/>
      <w:pgMar w:top="1000" w:right="900" w:bottom="100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6F6893"/>
    <w:multiLevelType w:val="hybridMultilevel"/>
    <w:tmpl w:val="1D386B5C"/>
    <w:lvl w:ilvl="0" w:tplc="2BC21E50">
      <w:start w:val="1"/>
      <w:numFmt w:val="bullet"/>
      <w:lvlText w:val="●"/>
      <w:lvlJc w:val="left"/>
      <w:pPr>
        <w:ind w:left="720" w:hanging="360"/>
      </w:pPr>
    </w:lvl>
    <w:lvl w:ilvl="1" w:tplc="616AA556">
      <w:start w:val="1"/>
      <w:numFmt w:val="bullet"/>
      <w:lvlText w:val="○"/>
      <w:lvlJc w:val="left"/>
      <w:pPr>
        <w:ind w:left="1440" w:hanging="360"/>
      </w:pPr>
    </w:lvl>
    <w:lvl w:ilvl="2" w:tplc="6F323BF6">
      <w:start w:val="1"/>
      <w:numFmt w:val="bullet"/>
      <w:lvlText w:val="■"/>
      <w:lvlJc w:val="left"/>
      <w:pPr>
        <w:ind w:left="2160" w:hanging="360"/>
      </w:pPr>
    </w:lvl>
    <w:lvl w:ilvl="3" w:tplc="C0226F48">
      <w:start w:val="1"/>
      <w:numFmt w:val="bullet"/>
      <w:lvlText w:val="●"/>
      <w:lvlJc w:val="left"/>
      <w:pPr>
        <w:ind w:left="2880" w:hanging="360"/>
      </w:pPr>
    </w:lvl>
    <w:lvl w:ilvl="4" w:tplc="ABC07B9A">
      <w:start w:val="1"/>
      <w:numFmt w:val="bullet"/>
      <w:lvlText w:val="○"/>
      <w:lvlJc w:val="left"/>
      <w:pPr>
        <w:ind w:left="3600" w:hanging="360"/>
      </w:pPr>
    </w:lvl>
    <w:lvl w:ilvl="5" w:tplc="394A40A2">
      <w:start w:val="1"/>
      <w:numFmt w:val="bullet"/>
      <w:lvlText w:val="■"/>
      <w:lvlJc w:val="left"/>
      <w:pPr>
        <w:ind w:left="4320" w:hanging="360"/>
      </w:pPr>
    </w:lvl>
    <w:lvl w:ilvl="6" w:tplc="FDB240C0">
      <w:start w:val="1"/>
      <w:numFmt w:val="bullet"/>
      <w:lvlText w:val="●"/>
      <w:lvlJc w:val="left"/>
      <w:pPr>
        <w:ind w:left="5040" w:hanging="360"/>
      </w:pPr>
    </w:lvl>
    <w:lvl w:ilvl="7" w:tplc="8182D0D6">
      <w:start w:val="1"/>
      <w:numFmt w:val="bullet"/>
      <w:lvlText w:val="●"/>
      <w:lvlJc w:val="left"/>
      <w:pPr>
        <w:ind w:left="5760" w:hanging="360"/>
      </w:pPr>
    </w:lvl>
    <w:lvl w:ilvl="8" w:tplc="2F7C20C0">
      <w:start w:val="1"/>
      <w:numFmt w:val="bullet"/>
      <w:lvlText w:val="●"/>
      <w:lvlJc w:val="left"/>
      <w:pPr>
        <w:ind w:left="6480" w:hanging="360"/>
      </w:pPr>
    </w:lvl>
  </w:abstractNum>
  <w:num w:numId="1" w16cid:durableId="8696057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44D"/>
    <w:rsid w:val="00146181"/>
    <w:rsid w:val="00325A4C"/>
    <w:rsid w:val="0046744D"/>
    <w:rsid w:val="00B0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A1A16"/>
  <w15:docId w15:val="{4AE694CC-BD45-420D-B428-58BD6A13B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2468</Words>
  <Characters>14070</Characters>
  <Application>Microsoft Office Word</Application>
  <DocSecurity>0</DocSecurity>
  <Lines>117</Lines>
  <Paragraphs>33</Paragraphs>
  <ScaleCrop>false</ScaleCrop>
  <Company/>
  <LinksUpToDate>false</LinksUpToDate>
  <CharactersWithSpaces>16505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Zborovna Borodacova</cp:lastModifiedBy>
  <cp:revision>3</cp:revision>
  <dcterms:created xsi:type="dcterms:W3CDTF">2026-09-14T08:15:00Z</dcterms:created>
  <dcterms:modified xsi:type="dcterms:W3CDTF">2026-09-14T08:48:00Z</dcterms:modified>
</cp:coreProperties>
</file>